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大标宋简体" w:hAnsi="方正小标宋简体" w:eastAsia="方正大标宋简体" w:cs="方正小标宋简体"/>
          <w:sz w:val="44"/>
          <w:szCs w:val="44"/>
        </w:rPr>
      </w:pPr>
      <w:bookmarkStart w:id="0" w:name="_GoBack"/>
      <w:r>
        <w:rPr>
          <w:rFonts w:hint="eastAsia" w:ascii="方正大标宋简体" w:hAnsi="方正小标宋简体" w:eastAsia="方正大标宋简体" w:cs="方正小标宋简体"/>
          <w:sz w:val="44"/>
          <w:szCs w:val="44"/>
        </w:rPr>
        <w:t>二道区赋予乡镇（街道）</w:t>
      </w:r>
    </w:p>
    <w:p>
      <w:pPr>
        <w:spacing w:line="600" w:lineRule="exact"/>
        <w:jc w:val="center"/>
        <w:rPr>
          <w:rFonts w:ascii="方正大标宋简体" w:hAnsi="方正小标宋简体" w:eastAsia="方正大标宋简体" w:cs="方正小标宋简体"/>
          <w:sz w:val="44"/>
          <w:szCs w:val="44"/>
        </w:rPr>
      </w:pPr>
      <w:r>
        <w:rPr>
          <w:rFonts w:hint="eastAsia" w:ascii="方正大标宋简体" w:hAnsi="方正小标宋简体" w:eastAsia="方正大标宋简体" w:cs="方正小标宋简体"/>
          <w:sz w:val="44"/>
          <w:szCs w:val="44"/>
        </w:rPr>
        <w:t>行政管理权限的指导意见</w:t>
      </w:r>
    </w:p>
    <w:bookmarkEnd w:id="0"/>
    <w:p>
      <w:pPr>
        <w:spacing w:line="600" w:lineRule="exact"/>
        <w:rPr>
          <w:rFonts w:ascii="楷体" w:hAnsi="楷体" w:eastAsia="楷体" w:cs="楷体"/>
          <w:color w:val="333333"/>
          <w:sz w:val="32"/>
          <w:szCs w:val="32"/>
          <w:shd w:val="clear" w:color="auto" w:fill="FFFFFF"/>
        </w:rPr>
      </w:pPr>
    </w:p>
    <w:p>
      <w:pPr>
        <w:spacing w:line="600" w:lineRule="exact"/>
        <w:ind w:firstLine="63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为贯彻落实吉林省委、省政府《关于深化乡镇街道机构改革推进基层整合审批执法力量的实施意见》和市、区工作方案，进一步扩大乡镇（街道）经济社会管理权限，强化基层社会治理，现就区直相关部门向乡镇（街道）赋权事宜，提出以下指导意见。 </w:t>
      </w:r>
    </w:p>
    <w:p>
      <w:pPr>
        <w:spacing w:line="600" w:lineRule="exact"/>
        <w:ind w:firstLine="630" w:firstLineChars="200"/>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一、指导思想</w:t>
      </w:r>
    </w:p>
    <w:p>
      <w:pPr>
        <w:spacing w:line="600" w:lineRule="exact"/>
        <w:ind w:firstLine="63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坚持以习近平新时代中国特色社会主义思想为指导，全面实施乡村振兴战略，深化乡镇（街道）机构改革和“放管服”“最多跑一次”改革，整合规范基层审批服务执法力量，健全完善基层管理体制，努力实现基层治理体系和治理能力现代化，为新时代长春全面振兴全方位振兴提供体制机制保障。</w:t>
      </w:r>
    </w:p>
    <w:p>
      <w:pPr>
        <w:spacing w:line="600" w:lineRule="exact"/>
        <w:ind w:firstLine="630" w:firstLineChars="200"/>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二、基本原则</w:t>
      </w:r>
    </w:p>
    <w:p>
      <w:pPr>
        <w:spacing w:line="600" w:lineRule="exact"/>
        <w:ind w:firstLine="630" w:firstLineChars="200"/>
        <w:rPr>
          <w:rFonts w:ascii="仿宋_GB2312" w:hAnsi="仿宋_GB2312" w:eastAsia="仿宋_GB2312" w:cs="仿宋_GB2312"/>
          <w:color w:val="333333"/>
          <w:sz w:val="32"/>
          <w:szCs w:val="32"/>
          <w:shd w:val="clear" w:color="auto" w:fill="FFFFFF"/>
        </w:rPr>
      </w:pPr>
      <w:r>
        <w:rPr>
          <w:rFonts w:hint="eastAsia" w:ascii="楷体_GB2312" w:hAnsi="楷体" w:eastAsia="楷体_GB2312" w:cs="楷体"/>
          <w:color w:val="333333"/>
          <w:sz w:val="32"/>
          <w:szCs w:val="32"/>
          <w:shd w:val="clear" w:color="auto" w:fill="FFFFFF"/>
        </w:rPr>
        <w:t>（一）坚持党的领导。</w:t>
      </w:r>
      <w:r>
        <w:rPr>
          <w:rFonts w:hint="eastAsia" w:ascii="仿宋_GB2312" w:hAnsi="仿宋_GB2312" w:eastAsia="仿宋_GB2312" w:cs="仿宋_GB2312"/>
          <w:color w:val="333333"/>
          <w:sz w:val="32"/>
          <w:szCs w:val="32"/>
          <w:shd w:val="clear" w:color="auto" w:fill="FFFFFF"/>
        </w:rPr>
        <w:t>坚持和完善党的全面领导，把加强基层党的建设、巩固党的执政基础作为贯穿社会治理和基层建设的主线，以党建统领基层各项治理工作。</w:t>
      </w:r>
    </w:p>
    <w:p>
      <w:pPr>
        <w:spacing w:line="600" w:lineRule="exact"/>
        <w:ind w:firstLine="630" w:firstLineChars="200"/>
        <w:rPr>
          <w:rFonts w:ascii="仿宋_GB2312" w:hAnsi="仿宋_GB2312" w:eastAsia="仿宋_GB2312" w:cs="仿宋_GB2312"/>
          <w:color w:val="333333"/>
          <w:sz w:val="32"/>
          <w:szCs w:val="32"/>
          <w:shd w:val="clear" w:color="auto" w:fill="FFFFFF"/>
        </w:rPr>
      </w:pPr>
      <w:r>
        <w:rPr>
          <w:rFonts w:hint="eastAsia" w:ascii="楷体_GB2312" w:hAnsi="楷体" w:eastAsia="楷体_GB2312" w:cs="楷体"/>
          <w:color w:val="333333"/>
          <w:sz w:val="32"/>
          <w:szCs w:val="32"/>
          <w:shd w:val="clear" w:color="auto" w:fill="FFFFFF"/>
        </w:rPr>
        <w:t>（二）坚持以人为本。</w:t>
      </w:r>
      <w:r>
        <w:rPr>
          <w:rFonts w:hint="eastAsia" w:ascii="仿宋_GB2312" w:hAnsi="仿宋_GB2312" w:eastAsia="仿宋_GB2312" w:cs="仿宋_GB2312"/>
          <w:color w:val="333333"/>
          <w:sz w:val="32"/>
          <w:szCs w:val="32"/>
          <w:shd w:val="clear" w:color="auto" w:fill="FFFFFF"/>
        </w:rPr>
        <w:t>从方便基层群众出发，完善为民谋利、为民办事、为民解忧、保障人民权益、倾听人民心声、接受人民监督的体制机制，减少办事环节，简化工作流程，提高行政效率。</w:t>
      </w:r>
    </w:p>
    <w:p>
      <w:pPr>
        <w:spacing w:line="600" w:lineRule="exact"/>
        <w:ind w:firstLine="630" w:firstLineChars="200"/>
        <w:rPr>
          <w:rFonts w:ascii="仿宋_GB2312" w:hAnsi="仿宋_GB2312" w:eastAsia="仿宋_GB2312" w:cs="仿宋_GB2312"/>
          <w:color w:val="333333"/>
          <w:sz w:val="32"/>
          <w:szCs w:val="32"/>
          <w:shd w:val="clear" w:color="auto" w:fill="FFFFFF"/>
        </w:rPr>
      </w:pPr>
      <w:r>
        <w:rPr>
          <w:rFonts w:hint="eastAsia" w:ascii="楷体_GB2312" w:hAnsi="楷体" w:eastAsia="楷体_GB2312" w:cs="楷体"/>
          <w:color w:val="333333"/>
          <w:sz w:val="32"/>
          <w:szCs w:val="32"/>
          <w:shd w:val="clear" w:color="auto" w:fill="FFFFFF"/>
        </w:rPr>
        <w:t>（三）坚持资源下沉。</w:t>
      </w:r>
      <w:r>
        <w:rPr>
          <w:rFonts w:hint="eastAsia" w:ascii="仿宋_GB2312" w:hAnsi="仿宋_GB2312" w:eastAsia="仿宋_GB2312" w:cs="仿宋_GB2312"/>
          <w:color w:val="333333"/>
          <w:sz w:val="32"/>
          <w:szCs w:val="32"/>
          <w:shd w:val="clear" w:color="auto" w:fill="FFFFFF"/>
        </w:rPr>
        <w:t>按照重心下移、力量下沉、保障下倾的要求，整合区域管理、执法、服务等各类资源，凝聚各方力量，实现扁平化和网格化管理，使基层有人有权有物，保证基层事情基层办、基层权力给基层、基层事情有人办。</w:t>
      </w:r>
    </w:p>
    <w:p>
      <w:pPr>
        <w:spacing w:line="600" w:lineRule="exact"/>
        <w:ind w:firstLine="630" w:firstLineChars="200"/>
        <w:rPr>
          <w:rFonts w:ascii="仿宋_GB2312" w:hAnsi="仿宋_GB2312" w:eastAsia="仿宋_GB2312" w:cs="仿宋_GB2312"/>
          <w:color w:val="333333"/>
          <w:sz w:val="32"/>
          <w:szCs w:val="32"/>
          <w:shd w:val="clear" w:color="auto" w:fill="FFFFFF"/>
        </w:rPr>
      </w:pPr>
      <w:r>
        <w:rPr>
          <w:rFonts w:hint="eastAsia" w:ascii="楷体_GB2312" w:hAnsi="楷体" w:eastAsia="楷体_GB2312" w:cs="楷体"/>
          <w:color w:val="333333"/>
          <w:sz w:val="32"/>
          <w:szCs w:val="32"/>
          <w:shd w:val="clear" w:color="auto" w:fill="FFFFFF"/>
        </w:rPr>
        <w:t>（四）坚持因地制宜。</w:t>
      </w:r>
      <w:r>
        <w:rPr>
          <w:rFonts w:hint="eastAsia" w:ascii="仿宋_GB2312" w:hAnsi="仿宋_GB2312" w:eastAsia="仿宋_GB2312" w:cs="仿宋_GB2312"/>
          <w:color w:val="333333"/>
          <w:sz w:val="32"/>
          <w:szCs w:val="32"/>
          <w:shd w:val="clear" w:color="auto" w:fill="FFFFFF"/>
        </w:rPr>
        <w:t>根据乡镇经济社会发展特点和资源禀赋，确定不同的功能定位,实行差别化定责赋权。实现顶层设计和基层实践有机结合，稳妥有序推进赋权，不搞“一刀切”。</w:t>
      </w:r>
    </w:p>
    <w:p>
      <w:pPr>
        <w:spacing w:line="600" w:lineRule="exact"/>
        <w:ind w:firstLine="630" w:firstLineChars="200"/>
        <w:rPr>
          <w:rFonts w:ascii="仿宋_GB2312" w:hAnsi="仿宋_GB2312" w:eastAsia="仿宋_GB2312" w:cs="仿宋_GB2312"/>
          <w:color w:val="333333"/>
          <w:sz w:val="32"/>
          <w:szCs w:val="32"/>
          <w:shd w:val="clear" w:color="auto" w:fill="FFFFFF"/>
        </w:rPr>
      </w:pPr>
      <w:r>
        <w:rPr>
          <w:rFonts w:hint="eastAsia" w:ascii="楷体_GB2312" w:hAnsi="楷体" w:eastAsia="楷体_GB2312" w:cs="楷体"/>
          <w:color w:val="333333"/>
          <w:sz w:val="32"/>
          <w:szCs w:val="32"/>
          <w:shd w:val="clear" w:color="auto" w:fill="FFFFFF"/>
        </w:rPr>
        <w:t>（五）坚持</w:t>
      </w:r>
      <w:r>
        <w:rPr>
          <w:rFonts w:hint="eastAsia" w:ascii="楷体" w:hAnsi="楷体" w:eastAsia="楷体" w:cs="楷体"/>
          <w:color w:val="333333"/>
          <w:sz w:val="32"/>
          <w:szCs w:val="32"/>
          <w:shd w:val="clear" w:color="auto" w:fill="FFFFFF"/>
        </w:rPr>
        <w:t>依法</w:t>
      </w:r>
      <w:r>
        <w:rPr>
          <w:rFonts w:hint="eastAsia" w:ascii="楷体_GB2312" w:hAnsi="楷体" w:eastAsia="楷体_GB2312" w:cs="楷体"/>
          <w:color w:val="333333"/>
          <w:sz w:val="32"/>
          <w:szCs w:val="32"/>
          <w:shd w:val="clear" w:color="auto" w:fill="FFFFFF"/>
        </w:rPr>
        <w:t>依规。</w:t>
      </w:r>
      <w:r>
        <w:rPr>
          <w:rFonts w:hint="eastAsia" w:ascii="仿宋_GB2312" w:hAnsi="仿宋_GB2312" w:eastAsia="仿宋_GB2312" w:cs="仿宋_GB2312"/>
          <w:color w:val="333333"/>
          <w:sz w:val="32"/>
          <w:szCs w:val="32"/>
          <w:shd w:val="clear" w:color="auto" w:fill="FFFFFF"/>
        </w:rPr>
        <w:t>牢固树立依法办事、依规工作的责任意识，严格遵守党章、党内法规和相关法律规定，认真履行法定原则和规定程序，全面实行权责和公共服务事项清单制度，保证行政权力规范透明运行，做到有权必有责，用权受监督，违法必追究。</w:t>
      </w:r>
    </w:p>
    <w:p>
      <w:pPr>
        <w:spacing w:line="600" w:lineRule="exact"/>
        <w:ind w:firstLine="630" w:firstLineChars="200"/>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三、主要内容</w:t>
      </w:r>
    </w:p>
    <w:p>
      <w:pPr>
        <w:spacing w:line="600" w:lineRule="exact"/>
        <w:ind w:firstLine="630" w:firstLineChars="200"/>
        <w:rPr>
          <w:rFonts w:ascii="仿宋_GB2312" w:hAnsi="仿宋_GB2312" w:eastAsia="仿宋_GB2312" w:cs="仿宋_GB2312"/>
          <w:color w:val="333333"/>
          <w:sz w:val="32"/>
          <w:szCs w:val="32"/>
          <w:shd w:val="clear" w:color="auto" w:fill="FFFFFF"/>
        </w:rPr>
      </w:pPr>
      <w:r>
        <w:rPr>
          <w:rFonts w:hint="eastAsia" w:ascii="楷体_GB2312" w:hAnsi="楷体" w:eastAsia="楷体_GB2312" w:cs="楷体"/>
          <w:color w:val="333333"/>
          <w:sz w:val="32"/>
          <w:szCs w:val="32"/>
          <w:shd w:val="clear" w:color="auto" w:fill="FFFFFF"/>
        </w:rPr>
        <w:t>（一）依法下放、宜放则放。</w:t>
      </w:r>
      <w:r>
        <w:rPr>
          <w:rFonts w:hint="eastAsia" w:ascii="仿宋_GB2312" w:hAnsi="仿宋_GB2312" w:eastAsia="仿宋_GB2312" w:cs="仿宋_GB2312"/>
          <w:color w:val="333333"/>
          <w:sz w:val="32"/>
          <w:szCs w:val="32"/>
          <w:shd w:val="clear" w:color="auto" w:fill="FFFFFF"/>
        </w:rPr>
        <w:t>区直部门以方便群众办事为出发点，将点多面广、基层管理迫切需要且能有效承接的审批服务执法权限赋予乡镇（街道）。区直部门赋予乡镇权限，要按照有关程序下放，并依法明确其执法主体地位。</w:t>
      </w:r>
    </w:p>
    <w:p>
      <w:pPr>
        <w:spacing w:line="600" w:lineRule="exact"/>
        <w:ind w:firstLine="630" w:firstLineChars="200"/>
        <w:rPr>
          <w:rFonts w:ascii="仿宋_GB2312" w:hAnsi="仿宋_GB2312" w:eastAsia="仿宋_GB2312" w:cs="仿宋_GB2312"/>
          <w:color w:val="333333"/>
          <w:sz w:val="32"/>
          <w:szCs w:val="32"/>
          <w:shd w:val="clear" w:color="auto" w:fill="FFFFFF"/>
        </w:rPr>
      </w:pPr>
      <w:r>
        <w:rPr>
          <w:rFonts w:hint="eastAsia" w:ascii="楷体_GB2312" w:hAnsi="楷体" w:eastAsia="楷体_GB2312" w:cs="楷体"/>
          <w:color w:val="333333"/>
          <w:sz w:val="32"/>
          <w:szCs w:val="32"/>
          <w:shd w:val="clear" w:color="auto" w:fill="FFFFFF"/>
        </w:rPr>
        <w:t>（二）精准赋权、自主决定。</w:t>
      </w:r>
      <w:r>
        <w:rPr>
          <w:rFonts w:hint="eastAsia" w:ascii="仿宋_GB2312" w:hAnsi="仿宋_GB2312" w:eastAsia="仿宋_GB2312" w:cs="仿宋_GB2312"/>
          <w:color w:val="333333"/>
          <w:sz w:val="32"/>
          <w:szCs w:val="32"/>
          <w:shd w:val="clear" w:color="auto" w:fill="FFFFFF"/>
        </w:rPr>
        <w:t>区直相关部门应综合考虑辖区乡镇生产总值、人口总数、区域面积、承担的重点工作任务等因素，在《省政府赋予经济发达镇部分县级行政管理权限指导目录》（吉政办发〔2018〕42号）中，自主选择决定赋予乡镇（街道）的行政管理权限。</w:t>
      </w:r>
    </w:p>
    <w:p>
      <w:pPr>
        <w:spacing w:line="600" w:lineRule="exact"/>
        <w:ind w:firstLine="630" w:firstLineChars="200"/>
        <w:rPr>
          <w:rFonts w:ascii="仿宋_GB2312" w:hAnsi="仿宋_GB2312" w:eastAsia="仿宋_GB2312" w:cs="仿宋_GB2312"/>
          <w:color w:val="333333"/>
          <w:sz w:val="32"/>
          <w:szCs w:val="32"/>
          <w:shd w:val="clear" w:color="auto" w:fill="FFFFFF"/>
        </w:rPr>
      </w:pPr>
      <w:r>
        <w:rPr>
          <w:rFonts w:hint="eastAsia" w:ascii="楷体_GB2312" w:hAnsi="楷体" w:eastAsia="楷体_GB2312" w:cs="楷体"/>
          <w:color w:val="333333"/>
          <w:sz w:val="32"/>
          <w:szCs w:val="32"/>
          <w:shd w:val="clear" w:color="auto" w:fill="FFFFFF"/>
        </w:rPr>
        <w:t>（三）稳妥推进、分批实施。</w:t>
      </w:r>
      <w:r>
        <w:rPr>
          <w:rFonts w:hint="eastAsia" w:ascii="仿宋_GB2312" w:hAnsi="仿宋_GB2312" w:eastAsia="仿宋_GB2312" w:cs="仿宋_GB2312"/>
          <w:color w:val="333333"/>
          <w:sz w:val="32"/>
          <w:szCs w:val="32"/>
          <w:shd w:val="clear" w:color="auto" w:fill="FFFFFF"/>
        </w:rPr>
        <w:t>区直相关部门要充分考虑自身发展需求、乡镇（街道）管理需求及承接能力等因素，逐项深入研究论证下放权限的科学性及可行性，积极稳妥做好向乡镇（街道）赋权工作。坚决杜绝盲目追求下放权限数量和向下推活、推责的现象发生，要成熟一批、赋予一批。对于《省政府赋予经济发达镇部分县级行政管理权限指导目录》（吉政办发〔2018〕42号）以外的行政管理权限，区直相关部门可以根据实际工作需要，按照相应的程序另行报批。</w:t>
      </w:r>
    </w:p>
    <w:p>
      <w:pPr>
        <w:spacing w:line="600" w:lineRule="exact"/>
        <w:ind w:firstLine="630" w:firstLineChars="200"/>
        <w:rPr>
          <w:rFonts w:ascii="仿宋_GB2312" w:hAnsi="仿宋_GB2312" w:eastAsia="仿宋_GB2312" w:cs="仿宋_GB2312"/>
          <w:color w:val="333333"/>
          <w:sz w:val="32"/>
          <w:szCs w:val="32"/>
          <w:shd w:val="clear" w:color="auto" w:fill="FFFFFF"/>
        </w:rPr>
      </w:pPr>
      <w:r>
        <w:rPr>
          <w:rFonts w:hint="eastAsia" w:ascii="楷体_GB2312" w:hAnsi="楷体" w:eastAsia="楷体_GB2312" w:cs="楷体"/>
          <w:color w:val="333333"/>
          <w:sz w:val="32"/>
          <w:szCs w:val="32"/>
          <w:shd w:val="clear" w:color="auto" w:fill="FFFFFF"/>
        </w:rPr>
        <w:t>（四）强化保障、加强指导。</w:t>
      </w:r>
      <w:r>
        <w:rPr>
          <w:rFonts w:hint="eastAsia" w:ascii="仿宋_GB2312" w:hAnsi="仿宋_GB2312" w:eastAsia="仿宋_GB2312" w:cs="仿宋_GB2312"/>
          <w:color w:val="333333"/>
          <w:sz w:val="32"/>
          <w:szCs w:val="32"/>
          <w:shd w:val="clear" w:color="auto" w:fill="FFFFFF"/>
        </w:rPr>
        <w:t>坚持重心下移、力量下沉、保障下倾，在向乡镇（街道）下放事权的同时也要同步下放相应资源，增强乡镇履职能力。区直部门要加强对下放给乡镇（街道）事权的人才、技术、资金、网络端口等方面的保障，加强指导、培训和监督，务必确保赋予乡镇（街道）的行政管理权限放得下、接的住、管得好。</w:t>
      </w:r>
    </w:p>
    <w:p>
      <w:pPr>
        <w:spacing w:line="600" w:lineRule="exact"/>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 xml:space="preserve">    四、有关要求</w:t>
      </w:r>
    </w:p>
    <w:p>
      <w:pPr>
        <w:spacing w:line="600" w:lineRule="exact"/>
        <w:ind w:firstLine="630" w:firstLineChars="200"/>
        <w:rPr>
          <w:rFonts w:ascii="仿宋_GB2312" w:hAnsi="仿宋_GB2312" w:eastAsia="仿宋_GB2312" w:cs="仿宋_GB2312"/>
          <w:color w:val="333333"/>
          <w:sz w:val="32"/>
          <w:szCs w:val="32"/>
          <w:shd w:val="clear" w:color="auto" w:fill="FFFFFF"/>
        </w:rPr>
      </w:pPr>
      <w:r>
        <w:rPr>
          <w:rFonts w:hint="eastAsia" w:ascii="楷体_GB2312" w:hAnsi="楷体" w:eastAsia="楷体_GB2312" w:cs="楷体"/>
          <w:color w:val="333333"/>
          <w:sz w:val="32"/>
          <w:szCs w:val="32"/>
          <w:shd w:val="clear" w:color="auto" w:fill="FFFFFF"/>
        </w:rPr>
        <w:t>（一）坚持依法推进。</w:t>
      </w:r>
      <w:r>
        <w:rPr>
          <w:rFonts w:hint="eastAsia" w:ascii="仿宋_GB2312" w:hAnsi="仿宋_GB2312" w:eastAsia="仿宋_GB2312" w:cs="仿宋_GB2312"/>
          <w:color w:val="333333"/>
          <w:sz w:val="32"/>
          <w:szCs w:val="32"/>
          <w:shd w:val="clear" w:color="auto" w:fill="FFFFFF"/>
        </w:rPr>
        <w:t>区直相关部门赋予乡镇行政管理权限，要坚持依法依规，涉及权限的划转要严格按照法定程序办理。</w:t>
      </w:r>
    </w:p>
    <w:p>
      <w:pPr>
        <w:spacing w:line="600" w:lineRule="exact"/>
        <w:ind w:firstLine="630" w:firstLineChars="200"/>
        <w:rPr>
          <w:rFonts w:ascii="仿宋_GB2312" w:hAnsi="仿宋_GB2312" w:eastAsia="仿宋_GB2312" w:cs="仿宋_GB2312"/>
          <w:color w:val="333333"/>
          <w:sz w:val="32"/>
          <w:szCs w:val="32"/>
          <w:shd w:val="clear" w:color="auto" w:fill="FFFFFF"/>
        </w:rPr>
      </w:pPr>
      <w:r>
        <w:rPr>
          <w:rFonts w:hint="eastAsia" w:ascii="楷体_GB2312" w:hAnsi="楷体" w:eastAsia="楷体_GB2312" w:cs="楷体"/>
          <w:color w:val="333333"/>
          <w:sz w:val="32"/>
          <w:szCs w:val="32"/>
          <w:shd w:val="clear" w:color="auto" w:fill="FFFFFF"/>
        </w:rPr>
        <w:t>（二）加强协同配合。</w:t>
      </w:r>
      <w:r>
        <w:rPr>
          <w:rFonts w:hint="eastAsia" w:ascii="仿宋_GB2312" w:hAnsi="仿宋_GB2312" w:eastAsia="仿宋_GB2312" w:cs="仿宋_GB2312"/>
          <w:color w:val="333333"/>
          <w:sz w:val="32"/>
          <w:szCs w:val="32"/>
          <w:shd w:val="clear" w:color="auto" w:fill="FFFFFF"/>
        </w:rPr>
        <w:t>赋权事项政策性强、涉及面广，区直相关部门相互之间要加强联动，密切配合，确保达到预期效果。</w:t>
      </w:r>
    </w:p>
    <w:p>
      <w:pPr>
        <w:spacing w:line="600" w:lineRule="exact"/>
        <w:ind w:firstLine="630" w:firstLineChars="200"/>
        <w:rPr>
          <w:rFonts w:ascii="仿宋_GB2312" w:hAnsi="仿宋_GB2312" w:eastAsia="仿宋_GB2312" w:cs="仿宋_GB2312"/>
          <w:color w:val="333333"/>
          <w:sz w:val="32"/>
          <w:szCs w:val="32"/>
          <w:shd w:val="clear" w:color="auto" w:fill="FFFFFF"/>
        </w:rPr>
      </w:pPr>
      <w:r>
        <w:rPr>
          <w:rFonts w:hint="eastAsia" w:ascii="楷体_GB2312" w:hAnsi="楷体" w:eastAsia="楷体_GB2312" w:cs="楷体"/>
          <w:color w:val="333333"/>
          <w:sz w:val="32"/>
          <w:szCs w:val="32"/>
          <w:shd w:val="clear" w:color="auto" w:fill="FFFFFF"/>
        </w:rPr>
        <w:t>（三）加快推进节奏。</w:t>
      </w:r>
      <w:r>
        <w:rPr>
          <w:rFonts w:hint="eastAsia" w:ascii="仿宋_GB2312" w:hAnsi="仿宋_GB2312" w:eastAsia="仿宋_GB2312" w:cs="仿宋_GB2312"/>
          <w:color w:val="333333"/>
          <w:sz w:val="32"/>
          <w:szCs w:val="32"/>
          <w:shd w:val="clear" w:color="auto" w:fill="FFFFFF"/>
        </w:rPr>
        <w:t>相关部门要抓紧推进工作，确保在9月底前完成向乡镇赋权工作，为顺利完成深化乡镇街道改革推进基层整合审批服务执法力量其他工作打下坚实基础。</w:t>
      </w:r>
    </w:p>
    <w:p>
      <w:pPr>
        <w:spacing w:line="600" w:lineRule="exact"/>
        <w:ind w:left="1568" w:leftChars="304" w:hanging="945" w:hangingChars="300"/>
        <w:rPr>
          <w:rFonts w:hint="eastAsia" w:ascii="仿宋_GB2312" w:hAnsi="宋体" w:eastAsia="仿宋_GB2312" w:cs="宋体"/>
          <w:kern w:val="0"/>
          <w:sz w:val="32"/>
          <w:szCs w:val="32"/>
        </w:rPr>
      </w:pPr>
      <w:r>
        <w:rPr>
          <w:rFonts w:hint="eastAsia" w:ascii="仿宋_GB2312" w:hAnsi="仿宋_GB2312" w:eastAsia="仿宋_GB2312" w:cs="仿宋_GB2312"/>
          <w:color w:val="333333"/>
          <w:sz w:val="32"/>
          <w:szCs w:val="32"/>
          <w:shd w:val="clear" w:color="auto" w:fill="FFFFFF"/>
        </w:rPr>
        <w:t>附件：</w:t>
      </w:r>
      <w:r>
        <w:rPr>
          <w:rFonts w:hint="eastAsia" w:ascii="仿宋_GB2312" w:hAnsi="宋体" w:eastAsia="仿宋_GB2312" w:cs="宋体"/>
          <w:kern w:val="0"/>
          <w:sz w:val="32"/>
          <w:szCs w:val="32"/>
        </w:rPr>
        <w:t>二道区拟下放乡镇行政管理权限清单（第一批）</w:t>
      </w:r>
    </w:p>
    <w:p>
      <w:pPr>
        <w:spacing w:line="600" w:lineRule="exact"/>
        <w:ind w:left="1568" w:leftChars="304" w:hanging="945" w:hangingChars="300"/>
        <w:rPr>
          <w:rFonts w:hint="eastAsia" w:ascii="仿宋_GB2312" w:hAnsi="宋体" w:eastAsia="仿宋_GB2312" w:cs="宋体"/>
          <w:kern w:val="0"/>
          <w:sz w:val="32"/>
          <w:szCs w:val="32"/>
        </w:rPr>
      </w:pPr>
    </w:p>
    <w:p>
      <w:pPr>
        <w:spacing w:line="600" w:lineRule="exact"/>
        <w:ind w:left="1568" w:leftChars="304" w:hanging="945" w:hangingChars="300"/>
        <w:rPr>
          <w:rFonts w:ascii="仿宋_GB2312" w:hAnsi="宋体" w:eastAsia="仿宋_GB2312" w:cs="宋体"/>
          <w:kern w:val="0"/>
          <w:sz w:val="32"/>
          <w:szCs w:val="32"/>
        </w:rPr>
      </w:pPr>
    </w:p>
    <w:tbl>
      <w:tblPr>
        <w:tblStyle w:val="4"/>
        <w:tblW w:w="9082" w:type="dxa"/>
        <w:tblInd w:w="98" w:type="dxa"/>
        <w:tblLayout w:type="autofit"/>
        <w:tblCellMar>
          <w:top w:w="0" w:type="dxa"/>
          <w:left w:w="108" w:type="dxa"/>
          <w:bottom w:w="0" w:type="dxa"/>
          <w:right w:w="108" w:type="dxa"/>
        </w:tblCellMar>
      </w:tblPr>
      <w:tblGrid>
        <w:gridCol w:w="453"/>
        <w:gridCol w:w="3200"/>
        <w:gridCol w:w="742"/>
        <w:gridCol w:w="711"/>
        <w:gridCol w:w="2701"/>
        <w:gridCol w:w="1275"/>
      </w:tblGrid>
      <w:tr>
        <w:tblPrEx>
          <w:tblCellMar>
            <w:top w:w="0" w:type="dxa"/>
            <w:left w:w="108" w:type="dxa"/>
            <w:bottom w:w="0" w:type="dxa"/>
            <w:right w:w="108" w:type="dxa"/>
          </w:tblCellMar>
        </w:tblPrEx>
        <w:trPr>
          <w:trHeight w:val="683" w:hRule="atLeast"/>
        </w:trPr>
        <w:tc>
          <w:tcPr>
            <w:tcW w:w="9082" w:type="dxa"/>
            <w:gridSpan w:val="6"/>
            <w:tcBorders>
              <w:top w:val="nil"/>
              <w:left w:val="nil"/>
              <w:bottom w:val="single" w:color="auto" w:sz="4" w:space="0"/>
              <w:right w:val="nil"/>
            </w:tcBorders>
            <w:shd w:val="clear" w:color="auto" w:fill="auto"/>
            <w:vAlign w:val="center"/>
          </w:tcPr>
          <w:p>
            <w:pPr>
              <w:widowControl/>
              <w:jc w:val="left"/>
              <w:rPr>
                <w:rFonts w:cs="宋体" w:asciiTheme="minorEastAsia" w:hAnsiTheme="minorEastAsia"/>
                <w:kern w:val="0"/>
                <w:sz w:val="32"/>
                <w:szCs w:val="32"/>
              </w:rPr>
            </w:pPr>
            <w:r>
              <w:rPr>
                <w:rFonts w:hint="eastAsia" w:cs="宋体" w:asciiTheme="minorEastAsia" w:hAnsiTheme="minorEastAsia"/>
                <w:kern w:val="0"/>
                <w:sz w:val="32"/>
                <w:szCs w:val="32"/>
              </w:rPr>
              <w:t>附件：</w:t>
            </w:r>
          </w:p>
          <w:p>
            <w:pPr>
              <w:widowControl/>
              <w:jc w:val="center"/>
              <w:rPr>
                <w:rFonts w:ascii="方正小标宋简体" w:hAnsi="宋体" w:eastAsia="方正小标宋简体" w:cs="宋体"/>
                <w:kern w:val="0"/>
                <w:sz w:val="40"/>
                <w:szCs w:val="40"/>
              </w:rPr>
            </w:pPr>
            <w:r>
              <w:rPr>
                <w:rFonts w:hint="eastAsia" w:ascii="方正小标宋简体" w:hAnsi="宋体" w:eastAsia="方正小标宋简体" w:cs="宋体"/>
                <w:kern w:val="0"/>
                <w:sz w:val="36"/>
                <w:szCs w:val="36"/>
              </w:rPr>
              <w:t>二道区拟下放乡镇行政管理权限清单</w:t>
            </w:r>
            <w:r>
              <w:rPr>
                <w:rFonts w:hint="eastAsia" w:ascii="楷体_GB2312" w:hAnsi="宋体" w:eastAsia="楷体_GB2312" w:cs="宋体"/>
                <w:kern w:val="0"/>
                <w:sz w:val="32"/>
                <w:szCs w:val="32"/>
              </w:rPr>
              <w:t>（第一批）</w:t>
            </w:r>
          </w:p>
        </w:tc>
      </w:tr>
      <w:tr>
        <w:tblPrEx>
          <w:tblCellMar>
            <w:top w:w="0" w:type="dxa"/>
            <w:left w:w="108" w:type="dxa"/>
            <w:bottom w:w="0" w:type="dxa"/>
            <w:right w:w="108" w:type="dxa"/>
          </w:tblCellMar>
        </w:tblPrEx>
        <w:trPr>
          <w:trHeight w:val="581" w:hRule="atLeast"/>
        </w:trPr>
        <w:tc>
          <w:tcPr>
            <w:tcW w:w="45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 w:val="24"/>
              </w:rPr>
            </w:pPr>
            <w:r>
              <w:rPr>
                <w:rFonts w:hint="eastAsia" w:ascii="宋体" w:hAnsi="宋体" w:eastAsia="宋体" w:cs="宋体"/>
                <w:b/>
                <w:bCs/>
                <w:kern w:val="0"/>
                <w:sz w:val="24"/>
              </w:rPr>
              <w:t>序号</w:t>
            </w:r>
          </w:p>
        </w:tc>
        <w:tc>
          <w:tcPr>
            <w:tcW w:w="32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4"/>
              </w:rPr>
            </w:pPr>
            <w:r>
              <w:rPr>
                <w:rFonts w:hint="eastAsia" w:ascii="宋体" w:hAnsi="宋体" w:eastAsia="宋体" w:cs="宋体"/>
                <w:b/>
                <w:bCs/>
                <w:kern w:val="0"/>
                <w:sz w:val="24"/>
              </w:rPr>
              <w:t>权限名称</w:t>
            </w:r>
          </w:p>
        </w:tc>
        <w:tc>
          <w:tcPr>
            <w:tcW w:w="7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4"/>
              </w:rPr>
            </w:pPr>
            <w:r>
              <w:rPr>
                <w:rFonts w:hint="eastAsia" w:ascii="宋体" w:hAnsi="宋体" w:eastAsia="宋体" w:cs="宋体"/>
                <w:b/>
                <w:bCs/>
                <w:kern w:val="0"/>
                <w:sz w:val="24"/>
              </w:rPr>
              <w:t>实施部门</w:t>
            </w:r>
          </w:p>
        </w:tc>
        <w:tc>
          <w:tcPr>
            <w:tcW w:w="7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4"/>
              </w:rPr>
            </w:pPr>
            <w:r>
              <w:rPr>
                <w:rFonts w:hint="eastAsia" w:ascii="宋体" w:hAnsi="宋体" w:eastAsia="宋体" w:cs="宋体"/>
                <w:b/>
                <w:bCs/>
                <w:kern w:val="0"/>
                <w:sz w:val="24"/>
              </w:rPr>
              <w:t>权限类型</w:t>
            </w:r>
          </w:p>
        </w:tc>
        <w:tc>
          <w:tcPr>
            <w:tcW w:w="2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4"/>
              </w:rPr>
            </w:pPr>
            <w:r>
              <w:rPr>
                <w:rFonts w:hint="eastAsia" w:ascii="宋体" w:hAnsi="宋体" w:eastAsia="宋体" w:cs="宋体"/>
                <w:b/>
                <w:bCs/>
                <w:kern w:val="0"/>
                <w:sz w:val="24"/>
              </w:rPr>
              <w:t>设定依据</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rPr>
            </w:pPr>
            <w:r>
              <w:rPr>
                <w:rFonts w:hint="eastAsia" w:ascii="宋体" w:hAnsi="宋体" w:eastAsia="宋体" w:cs="宋体"/>
                <w:b/>
                <w:bCs/>
                <w:color w:val="000000"/>
                <w:kern w:val="0"/>
                <w:sz w:val="24"/>
              </w:rPr>
              <w:t>赋权意见</w:t>
            </w:r>
          </w:p>
        </w:tc>
      </w:tr>
      <w:tr>
        <w:tblPrEx>
          <w:tblCellMar>
            <w:top w:w="0" w:type="dxa"/>
            <w:left w:w="108" w:type="dxa"/>
            <w:bottom w:w="0" w:type="dxa"/>
            <w:right w:w="108" w:type="dxa"/>
          </w:tblCellMar>
        </w:tblPrEx>
        <w:trPr>
          <w:trHeight w:val="828" w:hRule="atLeast"/>
        </w:trPr>
        <w:tc>
          <w:tcPr>
            <w:tcW w:w="45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Cs w:val="21"/>
              </w:rPr>
            </w:pPr>
            <w:r>
              <w:rPr>
                <w:rFonts w:hint="eastAsia" w:ascii="仿宋" w:hAnsi="仿宋" w:eastAsia="仿宋" w:cs="宋体"/>
                <w:kern w:val="0"/>
                <w:szCs w:val="21"/>
              </w:rPr>
              <w:t>1</w:t>
            </w:r>
          </w:p>
        </w:tc>
        <w:tc>
          <w:tcPr>
            <w:tcW w:w="32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Cs w:val="21"/>
              </w:rPr>
            </w:pPr>
            <w:r>
              <w:rPr>
                <w:rFonts w:hint="eastAsia" w:ascii="仿宋" w:hAnsi="仿宋" w:eastAsia="仿宋" w:cs="宋体"/>
                <w:kern w:val="0"/>
                <w:szCs w:val="21"/>
              </w:rPr>
              <w:t>对生产经营单位违反安全培训规定的处罚</w:t>
            </w:r>
          </w:p>
        </w:tc>
        <w:tc>
          <w:tcPr>
            <w:tcW w:w="74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Cs w:val="21"/>
              </w:rPr>
            </w:pPr>
            <w:r>
              <w:rPr>
                <w:rFonts w:hint="eastAsia" w:ascii="仿宋" w:hAnsi="仿宋" w:eastAsia="仿宋" w:cs="宋体"/>
                <w:kern w:val="0"/>
                <w:szCs w:val="21"/>
              </w:rPr>
              <w:t>应急</w:t>
            </w:r>
          </w:p>
        </w:tc>
        <w:tc>
          <w:tcPr>
            <w:tcW w:w="71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Cs w:val="21"/>
              </w:rPr>
            </w:pPr>
            <w:r>
              <w:rPr>
                <w:rFonts w:hint="eastAsia" w:ascii="仿宋" w:hAnsi="仿宋" w:eastAsia="仿宋" w:cs="宋体"/>
                <w:kern w:val="0"/>
                <w:szCs w:val="21"/>
              </w:rPr>
              <w:t>行政处罚</w:t>
            </w:r>
          </w:p>
        </w:tc>
        <w:tc>
          <w:tcPr>
            <w:tcW w:w="270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Cs w:val="21"/>
              </w:rPr>
            </w:pPr>
            <w:r>
              <w:rPr>
                <w:rFonts w:hint="eastAsia" w:ascii="仿宋" w:hAnsi="仿宋" w:eastAsia="仿宋" w:cs="宋体"/>
                <w:kern w:val="0"/>
                <w:szCs w:val="21"/>
              </w:rPr>
              <w:t>《生产经营单位安全培训规定》（国家应急总局第3号，2013年8月29日国家应急总局令第63号、2015年5月29日国家应急总局令第80号修改）</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828" w:hRule="atLeast"/>
        </w:trPr>
        <w:tc>
          <w:tcPr>
            <w:tcW w:w="45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Cs w:val="21"/>
              </w:rPr>
            </w:pPr>
            <w:r>
              <w:rPr>
                <w:rFonts w:hint="eastAsia" w:ascii="仿宋" w:hAnsi="仿宋" w:eastAsia="仿宋" w:cs="宋体"/>
                <w:kern w:val="0"/>
                <w:szCs w:val="21"/>
              </w:rPr>
              <w:t>2</w:t>
            </w:r>
          </w:p>
        </w:tc>
        <w:tc>
          <w:tcPr>
            <w:tcW w:w="32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Cs w:val="21"/>
              </w:rPr>
            </w:pPr>
            <w:r>
              <w:rPr>
                <w:rFonts w:hint="eastAsia" w:ascii="仿宋" w:hAnsi="仿宋" w:eastAsia="仿宋" w:cs="宋体"/>
                <w:kern w:val="0"/>
                <w:szCs w:val="21"/>
              </w:rPr>
              <w:t>对违反安全生产培训管理有关规定的处罚</w:t>
            </w:r>
          </w:p>
        </w:tc>
        <w:tc>
          <w:tcPr>
            <w:tcW w:w="74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Cs w:val="21"/>
              </w:rPr>
            </w:pPr>
            <w:r>
              <w:rPr>
                <w:rFonts w:hint="eastAsia" w:ascii="仿宋" w:hAnsi="仿宋" w:eastAsia="仿宋" w:cs="宋体"/>
                <w:kern w:val="0"/>
                <w:szCs w:val="21"/>
              </w:rPr>
              <w:t>应急</w:t>
            </w:r>
          </w:p>
        </w:tc>
        <w:tc>
          <w:tcPr>
            <w:tcW w:w="71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Cs w:val="21"/>
              </w:rPr>
            </w:pPr>
            <w:r>
              <w:rPr>
                <w:rFonts w:hint="eastAsia" w:ascii="仿宋" w:hAnsi="仿宋" w:eastAsia="仿宋" w:cs="宋体"/>
                <w:kern w:val="0"/>
                <w:szCs w:val="21"/>
              </w:rPr>
              <w:t>行政处罚</w:t>
            </w:r>
          </w:p>
        </w:tc>
        <w:tc>
          <w:tcPr>
            <w:tcW w:w="270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Cs w:val="21"/>
              </w:rPr>
            </w:pPr>
            <w:r>
              <w:rPr>
                <w:rFonts w:hint="eastAsia" w:ascii="仿宋" w:hAnsi="仿宋" w:eastAsia="仿宋" w:cs="宋体"/>
                <w:kern w:val="0"/>
                <w:szCs w:val="21"/>
              </w:rPr>
              <w:t>《安全生产培训管理办法》（国家应急总局令第44号，2013年8月29日国家应急总局令第63号、2015年5月29日国家应急总局令第80号修改）</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828" w:hRule="atLeast"/>
        </w:trPr>
        <w:tc>
          <w:tcPr>
            <w:tcW w:w="45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Cs w:val="21"/>
              </w:rPr>
            </w:pPr>
            <w:r>
              <w:rPr>
                <w:rFonts w:hint="eastAsia" w:ascii="仿宋" w:hAnsi="仿宋" w:eastAsia="仿宋" w:cs="宋体"/>
                <w:kern w:val="0"/>
                <w:szCs w:val="21"/>
              </w:rPr>
              <w:t>3</w:t>
            </w:r>
          </w:p>
        </w:tc>
        <w:tc>
          <w:tcPr>
            <w:tcW w:w="32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Cs w:val="21"/>
              </w:rPr>
            </w:pPr>
            <w:r>
              <w:rPr>
                <w:rFonts w:hint="eastAsia" w:ascii="仿宋" w:hAnsi="仿宋" w:eastAsia="仿宋" w:cs="宋体"/>
                <w:kern w:val="0"/>
                <w:szCs w:val="21"/>
              </w:rPr>
              <w:t>未按规定足额提取和使用安全生产费用的、未依法保证国家规定的其他安全生产所必须的资金投入的处罚</w:t>
            </w:r>
          </w:p>
        </w:tc>
        <w:tc>
          <w:tcPr>
            <w:tcW w:w="74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Cs w:val="21"/>
              </w:rPr>
            </w:pPr>
            <w:r>
              <w:rPr>
                <w:rFonts w:hint="eastAsia" w:ascii="仿宋" w:hAnsi="仿宋" w:eastAsia="仿宋" w:cs="宋体"/>
                <w:kern w:val="0"/>
                <w:szCs w:val="21"/>
              </w:rPr>
              <w:t>应急</w:t>
            </w:r>
          </w:p>
        </w:tc>
        <w:tc>
          <w:tcPr>
            <w:tcW w:w="71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Cs w:val="21"/>
              </w:rPr>
            </w:pPr>
            <w:r>
              <w:rPr>
                <w:rFonts w:hint="eastAsia" w:ascii="仿宋" w:hAnsi="仿宋" w:eastAsia="仿宋" w:cs="宋体"/>
                <w:kern w:val="0"/>
                <w:szCs w:val="21"/>
              </w:rPr>
              <w:t>行政处罚</w:t>
            </w:r>
          </w:p>
        </w:tc>
        <w:tc>
          <w:tcPr>
            <w:tcW w:w="270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Cs w:val="21"/>
              </w:rPr>
            </w:pPr>
            <w:r>
              <w:rPr>
                <w:rFonts w:hint="eastAsia" w:ascii="仿宋" w:hAnsi="仿宋" w:eastAsia="仿宋" w:cs="宋体"/>
                <w:kern w:val="0"/>
                <w:szCs w:val="21"/>
              </w:rPr>
              <w:t>《安全生产违法行为行政处罚办法》（国家应急总局令第15号，2015年4月2日国家应急总局令第77号修改）</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828" w:hRule="atLeast"/>
        </w:trPr>
        <w:tc>
          <w:tcPr>
            <w:tcW w:w="45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Cs w:val="21"/>
              </w:rPr>
            </w:pPr>
            <w:r>
              <w:rPr>
                <w:rFonts w:hint="eastAsia" w:ascii="仿宋" w:hAnsi="仿宋" w:eastAsia="仿宋" w:cs="宋体"/>
                <w:kern w:val="0"/>
                <w:szCs w:val="21"/>
              </w:rPr>
              <w:t>4</w:t>
            </w:r>
          </w:p>
        </w:tc>
        <w:tc>
          <w:tcPr>
            <w:tcW w:w="32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Cs w:val="21"/>
              </w:rPr>
            </w:pPr>
            <w:r>
              <w:rPr>
                <w:rFonts w:hint="eastAsia" w:ascii="仿宋" w:hAnsi="仿宋" w:eastAsia="仿宋" w:cs="宋体"/>
                <w:kern w:val="0"/>
                <w:szCs w:val="21"/>
              </w:rPr>
              <w:t>对生产经营单位及从业人员违反国家关于特种作业人员技术培训考核管理规定的处罚</w:t>
            </w:r>
          </w:p>
        </w:tc>
        <w:tc>
          <w:tcPr>
            <w:tcW w:w="74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Cs w:val="21"/>
              </w:rPr>
            </w:pPr>
            <w:r>
              <w:rPr>
                <w:rFonts w:hint="eastAsia" w:ascii="仿宋" w:hAnsi="仿宋" w:eastAsia="仿宋" w:cs="宋体"/>
                <w:kern w:val="0"/>
                <w:szCs w:val="21"/>
              </w:rPr>
              <w:t>应急</w:t>
            </w:r>
          </w:p>
        </w:tc>
        <w:tc>
          <w:tcPr>
            <w:tcW w:w="71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Cs w:val="21"/>
              </w:rPr>
            </w:pPr>
            <w:r>
              <w:rPr>
                <w:rFonts w:hint="eastAsia" w:ascii="仿宋" w:hAnsi="仿宋" w:eastAsia="仿宋" w:cs="宋体"/>
                <w:kern w:val="0"/>
                <w:szCs w:val="21"/>
              </w:rPr>
              <w:t>行政处罚</w:t>
            </w:r>
          </w:p>
        </w:tc>
        <w:tc>
          <w:tcPr>
            <w:tcW w:w="270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Cs w:val="21"/>
              </w:rPr>
            </w:pPr>
            <w:r>
              <w:rPr>
                <w:rFonts w:hint="eastAsia" w:ascii="仿宋" w:hAnsi="仿宋" w:eastAsia="仿宋" w:cs="宋体"/>
                <w:kern w:val="0"/>
                <w:szCs w:val="21"/>
              </w:rPr>
              <w:t>《特种作业人员安全技术培训考核管理规定》（国家应急总局令第30号，2015年5月29日国家应急总局令第80号修改）</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697" w:hRule="atLeast"/>
        </w:trPr>
        <w:tc>
          <w:tcPr>
            <w:tcW w:w="45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Cs w:val="21"/>
              </w:rPr>
            </w:pPr>
            <w:r>
              <w:rPr>
                <w:rFonts w:hint="eastAsia" w:ascii="仿宋" w:hAnsi="仿宋" w:eastAsia="仿宋" w:cs="宋体"/>
                <w:kern w:val="0"/>
                <w:szCs w:val="21"/>
              </w:rPr>
              <w:t>5</w:t>
            </w:r>
          </w:p>
        </w:tc>
        <w:tc>
          <w:tcPr>
            <w:tcW w:w="32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Cs w:val="21"/>
              </w:rPr>
            </w:pPr>
            <w:r>
              <w:rPr>
                <w:rFonts w:hint="eastAsia" w:ascii="仿宋" w:hAnsi="仿宋" w:eastAsia="仿宋" w:cs="宋体"/>
                <w:kern w:val="0"/>
                <w:szCs w:val="21"/>
              </w:rPr>
              <w:t>对违反工贸企业有限空间作业规定的处罚</w:t>
            </w:r>
          </w:p>
        </w:tc>
        <w:tc>
          <w:tcPr>
            <w:tcW w:w="74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Cs w:val="21"/>
              </w:rPr>
            </w:pPr>
            <w:r>
              <w:rPr>
                <w:rFonts w:hint="eastAsia" w:ascii="仿宋" w:hAnsi="仿宋" w:eastAsia="仿宋" w:cs="宋体"/>
                <w:kern w:val="0"/>
                <w:szCs w:val="21"/>
              </w:rPr>
              <w:t>应急</w:t>
            </w:r>
          </w:p>
        </w:tc>
        <w:tc>
          <w:tcPr>
            <w:tcW w:w="71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Cs w:val="21"/>
              </w:rPr>
            </w:pPr>
            <w:r>
              <w:rPr>
                <w:rFonts w:hint="eastAsia" w:ascii="仿宋" w:hAnsi="仿宋" w:eastAsia="仿宋" w:cs="宋体"/>
                <w:kern w:val="0"/>
                <w:szCs w:val="21"/>
              </w:rPr>
              <w:t>行政处罚</w:t>
            </w:r>
          </w:p>
        </w:tc>
        <w:tc>
          <w:tcPr>
            <w:tcW w:w="270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Cs w:val="21"/>
              </w:rPr>
            </w:pPr>
            <w:r>
              <w:rPr>
                <w:rFonts w:hint="eastAsia" w:ascii="仿宋" w:hAnsi="仿宋" w:eastAsia="仿宋" w:cs="宋体"/>
                <w:kern w:val="0"/>
                <w:szCs w:val="21"/>
              </w:rPr>
              <w:t>《工贸企业有限空间作业安全管理与监督暂行规定》（国家应急总局令第59号,2015年5月29日国家应急总局令第80号修改）</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bl>
    <w:p>
      <w:pPr>
        <w:spacing w:line="600" w:lineRule="exact"/>
        <w:ind w:firstLine="4410" w:firstLineChars="1400"/>
        <w:rPr>
          <w:rFonts w:ascii="仿宋_GB2312" w:hAnsi="仿宋_GB2312" w:eastAsia="仿宋_GB2312" w:cs="仿宋_GB2312"/>
          <w:color w:val="333333"/>
          <w:sz w:val="32"/>
          <w:szCs w:val="32"/>
          <w:shd w:val="clear" w:color="auto" w:fill="FFFFFF"/>
        </w:rPr>
      </w:pPr>
    </w:p>
    <w:sectPr>
      <w:footerReference r:id="rId3" w:type="default"/>
      <w:pgSz w:w="11906" w:h="16838"/>
      <w:pgMar w:top="1701" w:right="1134" w:bottom="1134" w:left="1418" w:header="851" w:footer="992" w:gutter="0"/>
      <w:cols w:space="0" w:num="1"/>
      <w:docGrid w:type="linesAndChars" w:linePitch="311" w:charSpace="-115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panose1 w:val="03000509000000000000"/>
    <w:charset w:val="86"/>
    <w:family w:val="auto"/>
    <w:pitch w:val="default"/>
    <w:sig w:usb0="00000001" w:usb1="080E0000" w:usb2="00000000" w:usb3="00000000" w:csb0="00040000" w:csb1="00000000"/>
  </w:font>
  <w:font w:name="方正小标宋简体">
    <w:altName w:val="仿宋_GB2312"/>
    <w:panose1 w:val="00000000000000000000"/>
    <w:charset w:val="86"/>
    <w:family w:val="script"/>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989936"/>
      <w:docPartObj>
        <w:docPartGallery w:val="AutoText"/>
      </w:docPartObj>
    </w:sdtPr>
    <w:sdtContent>
      <w:p>
        <w:pPr>
          <w:pStyle w:val="2"/>
          <w:jc w:val="center"/>
          <w:rPr>
            <w:sz w:val="21"/>
            <w:szCs w:val="24"/>
          </w:rPr>
        </w:pPr>
        <w:r>
          <w:rPr>
            <w:rFonts w:hint="eastAsia" w:ascii="仿宋_GB2312" w:eastAsia="仿宋_GB2312"/>
            <w:sz w:val="28"/>
            <w:szCs w:val="28"/>
          </w:rPr>
          <w:t>—</w:t>
        </w: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4</w:t>
        </w:r>
        <w:r>
          <w:rPr>
            <w:rFonts w:hint="eastAsia" w:ascii="仿宋_GB2312" w:eastAsia="仿宋_GB2312"/>
            <w:sz w:val="28"/>
            <w:szCs w:val="28"/>
          </w:rPr>
          <w:fldChar w:fldCharType="end"/>
        </w:r>
        <w:r>
          <w:rPr>
            <w:rFonts w:hint="eastAsia" w:ascii="仿宋_GB2312" w:eastAsia="仿宋_GB2312"/>
            <w:sz w:val="28"/>
            <w:szCs w:val="28"/>
          </w:rPr>
          <w:t>—</w:t>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2"/>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40C"/>
    <w:rsid w:val="0000601D"/>
    <w:rsid w:val="00011B06"/>
    <w:rsid w:val="0002714C"/>
    <w:rsid w:val="00052F8A"/>
    <w:rsid w:val="000D101C"/>
    <w:rsid w:val="002A62BC"/>
    <w:rsid w:val="003636F8"/>
    <w:rsid w:val="003C6CB8"/>
    <w:rsid w:val="003E64C0"/>
    <w:rsid w:val="004458AA"/>
    <w:rsid w:val="0047540C"/>
    <w:rsid w:val="004B2FCC"/>
    <w:rsid w:val="00580979"/>
    <w:rsid w:val="00586237"/>
    <w:rsid w:val="005B2CAC"/>
    <w:rsid w:val="005F0ED4"/>
    <w:rsid w:val="005F6810"/>
    <w:rsid w:val="00627C96"/>
    <w:rsid w:val="00640F1D"/>
    <w:rsid w:val="00684707"/>
    <w:rsid w:val="006D3E37"/>
    <w:rsid w:val="00741F08"/>
    <w:rsid w:val="007705E1"/>
    <w:rsid w:val="00785CFF"/>
    <w:rsid w:val="007952C6"/>
    <w:rsid w:val="00820A33"/>
    <w:rsid w:val="00833BD7"/>
    <w:rsid w:val="0084111C"/>
    <w:rsid w:val="00866909"/>
    <w:rsid w:val="0088193E"/>
    <w:rsid w:val="009008F2"/>
    <w:rsid w:val="009600E3"/>
    <w:rsid w:val="00AD3CCB"/>
    <w:rsid w:val="00AE3433"/>
    <w:rsid w:val="00B1172E"/>
    <w:rsid w:val="00B7000C"/>
    <w:rsid w:val="00B77168"/>
    <w:rsid w:val="00B812A6"/>
    <w:rsid w:val="00BB4BC7"/>
    <w:rsid w:val="00BF0821"/>
    <w:rsid w:val="00C02FF0"/>
    <w:rsid w:val="00C14111"/>
    <w:rsid w:val="00C329D8"/>
    <w:rsid w:val="00C36418"/>
    <w:rsid w:val="00C43B23"/>
    <w:rsid w:val="00C83CD4"/>
    <w:rsid w:val="00DC2427"/>
    <w:rsid w:val="00DD3996"/>
    <w:rsid w:val="00DD6EA0"/>
    <w:rsid w:val="00E13B7B"/>
    <w:rsid w:val="00E24EAA"/>
    <w:rsid w:val="00EC207A"/>
    <w:rsid w:val="00F956D5"/>
    <w:rsid w:val="040E1C14"/>
    <w:rsid w:val="045F2CDE"/>
    <w:rsid w:val="07CF25CB"/>
    <w:rsid w:val="09BC0884"/>
    <w:rsid w:val="0B0E0992"/>
    <w:rsid w:val="0B5273BD"/>
    <w:rsid w:val="0D767D90"/>
    <w:rsid w:val="0F490131"/>
    <w:rsid w:val="10964618"/>
    <w:rsid w:val="112301DA"/>
    <w:rsid w:val="14E85D3B"/>
    <w:rsid w:val="14FD34EC"/>
    <w:rsid w:val="155E6DC7"/>
    <w:rsid w:val="18420029"/>
    <w:rsid w:val="188E0806"/>
    <w:rsid w:val="190363A1"/>
    <w:rsid w:val="19C86E83"/>
    <w:rsid w:val="19E8782B"/>
    <w:rsid w:val="1AEB6E75"/>
    <w:rsid w:val="1CC945D8"/>
    <w:rsid w:val="214863C2"/>
    <w:rsid w:val="22831487"/>
    <w:rsid w:val="24451B1B"/>
    <w:rsid w:val="24563629"/>
    <w:rsid w:val="24E94B58"/>
    <w:rsid w:val="25F579AC"/>
    <w:rsid w:val="270D326F"/>
    <w:rsid w:val="28476B4B"/>
    <w:rsid w:val="296E0FED"/>
    <w:rsid w:val="2A1956F0"/>
    <w:rsid w:val="2EFC3207"/>
    <w:rsid w:val="30426AF6"/>
    <w:rsid w:val="339B47AE"/>
    <w:rsid w:val="33B44553"/>
    <w:rsid w:val="33D67791"/>
    <w:rsid w:val="33EC0C0A"/>
    <w:rsid w:val="35555FF5"/>
    <w:rsid w:val="3589199A"/>
    <w:rsid w:val="358F68E8"/>
    <w:rsid w:val="35AB1686"/>
    <w:rsid w:val="36A84C0D"/>
    <w:rsid w:val="371D3E39"/>
    <w:rsid w:val="3FFB0984"/>
    <w:rsid w:val="42A86C48"/>
    <w:rsid w:val="43C16BB9"/>
    <w:rsid w:val="44205D2E"/>
    <w:rsid w:val="47EA0007"/>
    <w:rsid w:val="47EE4AD9"/>
    <w:rsid w:val="4BAF7954"/>
    <w:rsid w:val="4CFB1F97"/>
    <w:rsid w:val="4D3223A4"/>
    <w:rsid w:val="4DAB713C"/>
    <w:rsid w:val="4FBB42ED"/>
    <w:rsid w:val="50AC41D3"/>
    <w:rsid w:val="50CA79AB"/>
    <w:rsid w:val="52416055"/>
    <w:rsid w:val="55050039"/>
    <w:rsid w:val="599557C9"/>
    <w:rsid w:val="5A5018DE"/>
    <w:rsid w:val="5A790323"/>
    <w:rsid w:val="5A967EE0"/>
    <w:rsid w:val="5AA91C7D"/>
    <w:rsid w:val="5D8A19EB"/>
    <w:rsid w:val="5F245588"/>
    <w:rsid w:val="60600957"/>
    <w:rsid w:val="60DF3608"/>
    <w:rsid w:val="61A03B4A"/>
    <w:rsid w:val="637C5711"/>
    <w:rsid w:val="63B914EF"/>
    <w:rsid w:val="664334B7"/>
    <w:rsid w:val="67452A55"/>
    <w:rsid w:val="694D4110"/>
    <w:rsid w:val="6D2F6BD3"/>
    <w:rsid w:val="6ED43785"/>
    <w:rsid w:val="703928B2"/>
    <w:rsid w:val="70F00356"/>
    <w:rsid w:val="73607A13"/>
    <w:rsid w:val="738F7B9B"/>
    <w:rsid w:val="74853EA8"/>
    <w:rsid w:val="754D7E4C"/>
    <w:rsid w:val="773F281B"/>
    <w:rsid w:val="77476E0B"/>
    <w:rsid w:val="77A15503"/>
    <w:rsid w:val="785676BC"/>
    <w:rsid w:val="7B49767D"/>
    <w:rsid w:val="7DD35280"/>
    <w:rsid w:val="7E7E035E"/>
    <w:rsid w:val="7F8120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Theme="minorHAnsi" w:hAnsiTheme="minorHAnsi" w:eastAsiaTheme="minorEastAsia" w:cstheme="minorBidi"/>
      <w:kern w:val="2"/>
      <w:sz w:val="18"/>
      <w:szCs w:val="18"/>
    </w:rPr>
  </w:style>
  <w:style w:type="character" w:customStyle="1" w:styleId="7">
    <w:name w:val="页脚 Char"/>
    <w:basedOn w:val="5"/>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319</Words>
  <Characters>1819</Characters>
  <Lines>15</Lines>
  <Paragraphs>4</Paragraphs>
  <TotalTime>18532</TotalTime>
  <ScaleCrop>false</ScaleCrop>
  <LinksUpToDate>false</LinksUpToDate>
  <CharactersWithSpaces>2134</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2020-09-17T07:09:00Z</dcterms:created>
  <dc:creator>Administrator</dc:creator>
  <cp:lastModifiedBy>猪猪侠ོོོོོོོོོོོོོ</cp:lastModifiedBy>
  <cp:lastPrinted>2020-07-30T00:15:00Z</cp:lastPrinted>
  <dcterms:modified xsi:type="dcterms:W3CDTF">2021-11-30T07:15:34Z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88F25FDC2B9E42D19B704FA5FB986C7D</vt:lpwstr>
  </property>
</Properties>
</file>