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《</w:t>
      </w:r>
      <w:r>
        <w:t>长春市二道区人民政府关于拖拉机厂俱乐部地块征收补偿补充方案</w:t>
      </w:r>
      <w:r>
        <w:rPr>
          <w:rFonts w:hint="eastAsia"/>
          <w:lang w:eastAsia="zh-CN"/>
        </w:rPr>
        <w:t>》起草说明</w:t>
      </w:r>
    </w:p>
    <w:bookmarkEnd w:id="0"/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一、起草背景和依据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了公共利益需要，依据《国有土地上房屋征收与补偿条例》、《吉林省国有土地上房屋征收与补偿办法》、《长春市国有土地上房屋征收与补偿条例》及《长春市国有土地上房屋征收与补偿暂行办法》等相关法规和文件规定，结合本项目的实际情况，制定房屋征收补偿方案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项具体内容：</w:t>
      </w:r>
    </w:p>
    <w:p>
      <w:pPr>
        <w:widowControl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一是关于</w:t>
      </w:r>
      <w:r>
        <w:rPr>
          <w:rFonts w:ascii="仿宋_GB2312" w:hAnsi="宋体" w:eastAsia="仿宋_GB2312"/>
          <w:sz w:val="32"/>
          <w:szCs w:val="32"/>
        </w:rPr>
        <w:t>征收范围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　　二</w:t>
      </w:r>
      <w:r>
        <w:rPr>
          <w:rFonts w:hint="eastAsia" w:ascii="仿宋_GB2312" w:hAnsi="宋体" w:eastAsia="仿宋_GB2312"/>
          <w:sz w:val="32"/>
          <w:szCs w:val="32"/>
        </w:rPr>
        <w:t>是关于</w:t>
      </w:r>
      <w:r>
        <w:rPr>
          <w:rFonts w:ascii="仿宋_GB2312" w:hAnsi="宋体" w:eastAsia="仿宋_GB2312"/>
          <w:sz w:val="32"/>
          <w:szCs w:val="32"/>
        </w:rPr>
        <w:t>征收主体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　　三</w:t>
      </w:r>
      <w:r>
        <w:rPr>
          <w:rFonts w:hint="eastAsia" w:ascii="仿宋_GB2312" w:hAnsi="宋体" w:eastAsia="仿宋_GB2312"/>
          <w:sz w:val="32"/>
          <w:szCs w:val="32"/>
        </w:rPr>
        <w:t>是关于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房屋登记情况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　　四</w:t>
      </w:r>
      <w:r>
        <w:rPr>
          <w:rFonts w:hint="eastAsia" w:ascii="仿宋_GB2312" w:hAnsi="宋体" w:eastAsia="仿宋_GB2312"/>
          <w:sz w:val="32"/>
          <w:szCs w:val="32"/>
        </w:rPr>
        <w:t>是关于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征收补偿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　　五</w:t>
      </w:r>
      <w:r>
        <w:rPr>
          <w:rFonts w:hint="eastAsia" w:ascii="仿宋_GB2312" w:hAnsi="宋体" w:eastAsia="仿宋_GB2312"/>
          <w:sz w:val="32"/>
          <w:szCs w:val="32"/>
        </w:rPr>
        <w:t>是关于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价值时点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widowControl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六</w:t>
      </w:r>
      <w:r>
        <w:rPr>
          <w:rFonts w:hint="eastAsia" w:ascii="仿宋_GB2312" w:hAnsi="宋体" w:eastAsia="仿宋_GB2312"/>
          <w:sz w:val="32"/>
          <w:szCs w:val="32"/>
        </w:rPr>
        <w:t>是关于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签约时限、搬迁时限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widowControl/>
        <w:ind w:firstLine="64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七是有关住宅房屋奖励政策；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　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是关于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达不成协议的处理办法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widowControl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　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/>
          <w:sz w:val="32"/>
          <w:szCs w:val="32"/>
        </w:rPr>
        <w:t>是关于《补充方案》系《拖拉机厂俱乐部地块征收补偿方案》的补充，相关规定若不一致，依据《补充方案》规定执行，《补充方案》未明确事宜依据《拖拉机厂俱乐部地块征收补偿方案》执行。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三、相关建议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建议本《补偿方案》经区政府常务会议研究通过后，以区政府名义印发文件。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31CC0"/>
    <w:rsid w:val="3223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2022-04-14T17:44:00Z</dcterms:created>
  <dc:creator>猪猪侠ོོོོོོོོོོོོོ</dc:creator>
  <cp:lastModifiedBy>猪猪侠ོོོོོོོོོོོོོ</cp:lastModifiedBy>
  <dcterms:modified xsi:type="dcterms:W3CDTF">2022-04-14T17:49:37Z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F773BDA352D542919B41DF37987A9C41</vt:lpwstr>
  </property>
</Properties>
</file>