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楷体_GB2312" w:hAnsi="楷体_GB2312" w:eastAsia="楷体_GB2312" w:cs="楷体_GB2312"/>
          <w:sz w:val="32"/>
          <w:szCs w:val="32"/>
        </w:rPr>
      </w:pPr>
      <w:bookmarkStart w:id="0" w:name="_GoBack"/>
      <w:r>
        <w:rPr>
          <w:rFonts w:hint="eastAsia" w:ascii="方正大标宋简体" w:eastAsia="方正大标宋简体"/>
          <w:sz w:val="44"/>
          <w:szCs w:val="44"/>
        </w:rPr>
        <w:t>二道区“十四五”规划编制工作方案</w:t>
      </w:r>
      <w:bookmarkEnd w:id="0"/>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“十四五”时期（2021-2025年），是我国从全面建成小康社会向基本实现社会主义现代化迈进的关键时期，也是推动二道区全面振兴全方位振兴的重要阶段。为切实做好“十四五”规划编制工作，制定本方案。</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主要任务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二道区“十四五”规划编制任务包括发展规划、专项规划和国土空间规划，具体任务及进度安排如下：</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楷体_GB2312" w:eastAsia="楷体_GB2312"/>
          <w:sz w:val="32"/>
        </w:rPr>
      </w:pPr>
      <w:r>
        <w:rPr>
          <w:rFonts w:hint="eastAsia" w:ascii="楷体_GB2312" w:eastAsia="楷体_GB2312"/>
          <w:sz w:val="32"/>
        </w:rPr>
        <w:t>（一）关于二道区“十四五”发展规划</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eastAsia="仿宋_GB2312"/>
          <w:sz w:val="32"/>
        </w:rPr>
      </w:pPr>
      <w:r>
        <w:rPr>
          <w:rFonts w:hint="eastAsia" w:eastAsia="仿宋_GB2312"/>
          <w:sz w:val="32"/>
        </w:rPr>
        <w:t>区政府组织编制“十四五”发展规划，区发展和改革局具体承担规划编制任务。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rPr>
        <w:t>发展规划基本思路制定（2019年10月－2020年3月）。落实高质量发展要求，聚焦问题导向和目标导向，研究提出我区“十四五”时期经济社会发展基本思路。</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rPr>
        <w:t>规划纲要框架编制（2020年3月－2020年10月）。依据“十四五”发展基本思路，进一步明确我区“十四五”时期经济社会发展主要目标指标和重点任务举措、重大工程项目，编制形成规划纲要框架。</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rPr>
        <w:t>规划纲要草案形成（2020年11月－2020年12月）。在规划纲要框架基础上，编制形成规划纲要草案，履行相关报批程序，提请区人大审议。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（二）关于二道区</w:t>
      </w:r>
      <w:r>
        <w:rPr>
          <w:rFonts w:hint="eastAsia" w:ascii="楷体_GB2312" w:hAnsi="楷体_GB2312" w:eastAsia="楷体_GB2312" w:cs="楷体_GB2312"/>
          <w:sz w:val="32"/>
          <w:szCs w:val="32"/>
          <w:lang w:eastAsia="zh-TW"/>
        </w:rPr>
        <w:t>“十四五”专项规划</w:t>
      </w:r>
      <w:r>
        <w:rPr>
          <w:rFonts w:hint="eastAsia" w:ascii="楷体_GB2312" w:hAnsi="楷体_GB2312" w:eastAsia="楷体_GB2312" w:cs="楷体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区直有关部门依据</w:t>
      </w:r>
      <w:r>
        <w:rPr>
          <w:rFonts w:hint="eastAsia" w:ascii="仿宋_GB2312" w:hAnsi="仿宋_GB2312" w:eastAsia="仿宋_GB2312" w:cs="仿宋_GB2312"/>
          <w:sz w:val="32"/>
          <w:szCs w:val="32"/>
        </w:rPr>
        <w:t>市直部门</w:t>
      </w:r>
      <w:r>
        <w:rPr>
          <w:rFonts w:hint="eastAsia" w:ascii="仿宋_GB2312" w:hAnsi="仿宋_GB2312" w:eastAsia="仿宋_GB2312" w:cs="仿宋_GB2312"/>
          <w:sz w:val="32"/>
          <w:szCs w:val="32"/>
          <w:lang w:eastAsia="zh-TW"/>
        </w:rPr>
        <w:t>规划清单</w:t>
      </w:r>
      <w:r>
        <w:rPr>
          <w:rFonts w:hint="eastAsia" w:ascii="仿宋_GB2312" w:hAnsi="仿宋_GB2312" w:eastAsia="仿宋_GB2312" w:cs="仿宋_GB2312"/>
          <w:sz w:val="32"/>
          <w:szCs w:val="32"/>
        </w:rPr>
        <w:t>和工作实际需要</w:t>
      </w:r>
      <w:r>
        <w:rPr>
          <w:rFonts w:hint="eastAsia" w:ascii="仿宋_GB2312" w:hAnsi="仿宋_GB2312" w:eastAsia="仿宋_GB2312" w:cs="仿宋_GB2312"/>
          <w:sz w:val="32"/>
          <w:szCs w:val="32"/>
          <w:lang w:eastAsia="zh-TW"/>
        </w:rPr>
        <w:t>，</w:t>
      </w:r>
      <w:r>
        <w:rPr>
          <w:rFonts w:hint="eastAsia" w:ascii="仿宋_GB2312" w:hAnsi="仿宋_GB2312" w:eastAsia="仿宋_GB2312" w:cs="仿宋_GB2312"/>
          <w:sz w:val="32"/>
          <w:szCs w:val="32"/>
        </w:rPr>
        <w:t>将专项规划编制课题报送至区发改局，</w:t>
      </w:r>
      <w:r>
        <w:rPr>
          <w:rFonts w:hint="eastAsia" w:ascii="仿宋_GB2312" w:hAnsi="仿宋_GB2312" w:eastAsia="仿宋_GB2312" w:cs="仿宋_GB2312"/>
          <w:sz w:val="32"/>
          <w:szCs w:val="32"/>
          <w:lang w:eastAsia="zh-TW"/>
        </w:rPr>
        <w:t>组织编制专项规划，编制进度安排与</w:t>
      </w:r>
      <w:r>
        <w:rPr>
          <w:rFonts w:hint="eastAsia" w:ascii="仿宋_GB2312" w:hAnsi="仿宋_GB2312" w:eastAsia="仿宋_GB2312" w:cs="仿宋_GB2312"/>
          <w:sz w:val="32"/>
          <w:szCs w:val="32"/>
        </w:rPr>
        <w:t>二道区</w:t>
      </w:r>
      <w:r>
        <w:rPr>
          <w:rFonts w:hint="eastAsia" w:ascii="仿宋_GB2312" w:hAnsi="仿宋_GB2312" w:eastAsia="仿宋_GB2312" w:cs="仿宋_GB2312"/>
          <w:sz w:val="32"/>
          <w:szCs w:val="32"/>
          <w:lang w:eastAsia="zh-TW"/>
        </w:rPr>
        <w:t>“十四五”发展规划同步。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1.基本思路制定（2019年10月－2020年3月）。根据部门职责，研究“十四五”时期本行业、本领域的发展方向、发展任务和发展目标，形成发展基本思路。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规划目录清单制定和规划编制（2020年3月－2020年12月）。按照国家、省、市总体部署和区委、政府要求，区发改局会同有关部门研究提出二道区重点专项规划和一般专项规划编制目录清单，经区政府审定批准后，由区直各有关部门组织编制专项规划，形成规划文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3.规划衔接、审批和发布（2021年3月底前）。专项规划报批前，须报送区发改局，与二道区“十四五”发展规划进行衔接。重点专项规划和一般专项规划报区委或区政府审批后，由编制部门印发。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（三）关于国土空间规划</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规划和自然资源分局组织编制二道区空间规划。规划编制中，要加强与区发改局沟通和对接，确保空间发展战略格局、空间结构优化方向和产业格局等方面协调一致。</w:t>
      </w:r>
      <w:r>
        <w:rPr>
          <w:rFonts w:hint="eastAsia" w:ascii="仿宋_GB2312" w:hAnsi="仿宋_GB2312" w:eastAsia="仿宋_GB2312" w:cs="仿宋_GB2312"/>
          <w:sz w:val="32"/>
          <w:szCs w:val="32"/>
          <w:lang w:eastAsia="zh-TW"/>
        </w:rPr>
        <w:t>规划</w:t>
      </w:r>
      <w:r>
        <w:rPr>
          <w:rFonts w:hint="eastAsia" w:ascii="仿宋_GB2312" w:hAnsi="仿宋_GB2312" w:eastAsia="仿宋_GB2312" w:cs="仿宋_GB2312"/>
          <w:sz w:val="32"/>
          <w:szCs w:val="32"/>
        </w:rPr>
        <w:t>报批</w:t>
      </w:r>
      <w:r>
        <w:rPr>
          <w:rFonts w:hint="eastAsia" w:ascii="仿宋_GB2312" w:hAnsi="仿宋_GB2312" w:eastAsia="仿宋_GB2312" w:cs="仿宋_GB2312"/>
          <w:sz w:val="32"/>
          <w:szCs w:val="32"/>
          <w:lang w:eastAsia="zh-TW"/>
        </w:rPr>
        <w:t>前，</w:t>
      </w:r>
      <w:r>
        <w:rPr>
          <w:rFonts w:hint="eastAsia" w:ascii="仿宋_GB2312" w:hAnsi="仿宋_GB2312" w:eastAsia="仿宋_GB2312" w:cs="仿宋_GB2312"/>
          <w:sz w:val="32"/>
          <w:szCs w:val="32"/>
        </w:rPr>
        <w:t>充分征求区发改局意见，并做好与区“十四五”发展规划衔接。</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sz w:val="32"/>
        </w:rPr>
      </w:pPr>
      <w:r>
        <w:rPr>
          <w:rFonts w:hint="eastAsia" w:ascii="黑体" w:hAnsi="黑体" w:eastAsia="黑体" w:cs="黑体"/>
          <w:sz w:val="32"/>
        </w:rPr>
        <w:t>二、关于二道区“十四五”课题研究</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eastAsia="仿宋_GB2312"/>
          <w:sz w:val="32"/>
        </w:rPr>
      </w:pPr>
      <w:r>
        <w:rPr>
          <w:rFonts w:hint="eastAsia" w:eastAsia="仿宋_GB2312"/>
          <w:sz w:val="32"/>
        </w:rPr>
        <w:t>着眼推进长春市和二道区全面振兴全方位振兴，围绕“十四五”时期亟待破解的重大问题，结合规划编制需要，拟组织开展24个重大课题研究，由区直各部门牵头，由2020年4月底前形成课题研究成果，为编制“十四五”规划提供参考和依据。</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eastAsia="仿宋_GB2312"/>
          <w:sz w:val="32"/>
        </w:rPr>
      </w:pPr>
      <w:r>
        <w:rPr>
          <w:rFonts w:hint="eastAsia" w:ascii="黑体" w:hAnsi="黑体" w:eastAsia="黑体" w:cs="黑体"/>
          <w:sz w:val="32"/>
          <w:szCs w:val="32"/>
        </w:rPr>
        <w:t>三、工作要求</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eastAsia="仿宋_GB2312"/>
          <w:sz w:val="32"/>
        </w:rPr>
      </w:pPr>
      <w:r>
        <w:rPr>
          <w:rFonts w:hint="eastAsia" w:eastAsia="仿宋_GB2312"/>
          <w:sz w:val="32"/>
        </w:rPr>
        <w:t>1</w:t>
      </w:r>
      <w:r>
        <w:rPr>
          <w:rFonts w:hint="eastAsia" w:ascii="仿宋_GB2312" w:hAnsi="仿宋_GB2312" w:eastAsia="仿宋_GB2312" w:cs="仿宋_GB2312"/>
          <w:sz w:val="32"/>
          <w:szCs w:val="32"/>
        </w:rPr>
        <w:t>.</w:t>
      </w:r>
      <w:r>
        <w:rPr>
          <w:rFonts w:hint="eastAsia" w:eastAsia="仿宋_GB2312"/>
          <w:sz w:val="32"/>
        </w:rPr>
        <w:t>加强组织领导。区政府建立工作协调机制，成立区“十四五”规划编制工作领导小组，研究确定我区“十四五”规划编制重大事项。各部门要建立相应领导机制，精心组织实施，确保高质量完成规划编制任务。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eastAsia="仿宋_GB2312"/>
          <w:sz w:val="32"/>
        </w:rPr>
      </w:pPr>
      <w:r>
        <w:rPr>
          <w:rFonts w:hint="eastAsia" w:eastAsia="仿宋_GB2312"/>
          <w:sz w:val="32"/>
        </w:rPr>
        <w:t>2</w:t>
      </w:r>
      <w:r>
        <w:rPr>
          <w:rFonts w:hint="eastAsia" w:ascii="仿宋_GB2312" w:hAnsi="仿宋_GB2312" w:eastAsia="仿宋_GB2312" w:cs="仿宋_GB2312"/>
          <w:sz w:val="32"/>
          <w:szCs w:val="32"/>
        </w:rPr>
        <w:t>.</w:t>
      </w:r>
      <w:r>
        <w:rPr>
          <w:rFonts w:hint="eastAsia" w:eastAsia="仿宋_GB2312"/>
          <w:sz w:val="32"/>
        </w:rPr>
        <w:t>加强规划衔接。区发改局要建立规划衔接机制，依据二道区“十四五”规划编制，对各部门专项规划进行衔接论证，确保全区一盘棋。</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eastAsia="仿宋_GB2312"/>
          <w:sz w:val="32"/>
        </w:rPr>
      </w:pPr>
      <w:r>
        <w:rPr>
          <w:rFonts w:hint="eastAsia" w:eastAsia="仿宋_GB2312"/>
          <w:sz w:val="32"/>
        </w:rPr>
        <w:t>3</w:t>
      </w:r>
      <w:r>
        <w:rPr>
          <w:rFonts w:hint="eastAsia" w:ascii="仿宋_GB2312" w:hAnsi="仿宋_GB2312" w:eastAsia="仿宋_GB2312" w:cs="仿宋_GB2312"/>
          <w:sz w:val="32"/>
          <w:szCs w:val="32"/>
        </w:rPr>
        <w:t>.</w:t>
      </w:r>
      <w:r>
        <w:rPr>
          <w:rFonts w:hint="eastAsia" w:eastAsia="仿宋_GB2312"/>
          <w:sz w:val="32"/>
        </w:rPr>
        <w:t>加强咨询论证。建立专家咨询论证制度，在规划思路、规划纲要框架、规划纲要草案等不同阶段，广泛开展人大代表、政协委员、专家学者、企业家的咨询论证，充分听取社会各界意见。</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eastAsia="仿宋_GB2312"/>
          <w:sz w:val="32"/>
        </w:rPr>
      </w:pPr>
      <w:r>
        <w:rPr>
          <w:rFonts w:hint="eastAsia" w:eastAsia="仿宋_GB2312"/>
          <w:sz w:val="32"/>
        </w:rPr>
        <w:t>4</w:t>
      </w:r>
      <w:r>
        <w:rPr>
          <w:rFonts w:hint="eastAsia" w:ascii="仿宋_GB2312" w:hAnsi="仿宋_GB2312" w:eastAsia="仿宋_GB2312" w:cs="仿宋_GB2312"/>
          <w:sz w:val="32"/>
          <w:szCs w:val="32"/>
        </w:rPr>
        <w:t>.</w:t>
      </w:r>
      <w:r>
        <w:rPr>
          <w:rFonts w:hint="eastAsia" w:eastAsia="仿宋_GB2312"/>
          <w:sz w:val="32"/>
        </w:rPr>
        <w:t>加强项目争取。要强化重大工程项目的研究谋划，区发展和改革局做好把重大项目争取纳入国家和省“十四五”发展规划的相关工作；各部门要加强对口衔接，做好把行业项目争取纳入国家和省“十四五”专项规划的相关工作。</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eastAsia="仿宋_GB2312"/>
          <w:sz w:val="32"/>
        </w:rPr>
      </w:pPr>
      <w:r>
        <w:rPr>
          <w:rFonts w:hint="eastAsia" w:eastAsia="仿宋_GB2312"/>
          <w:sz w:val="32"/>
        </w:rPr>
        <w:t>5</w:t>
      </w:r>
      <w:r>
        <w:rPr>
          <w:rFonts w:hint="eastAsia" w:ascii="仿宋_GB2312" w:hAnsi="仿宋_GB2312" w:eastAsia="仿宋_GB2312" w:cs="仿宋_GB2312"/>
          <w:sz w:val="32"/>
          <w:szCs w:val="32"/>
        </w:rPr>
        <w:t>.</w:t>
      </w:r>
      <w:r>
        <w:rPr>
          <w:rFonts w:hint="eastAsia" w:eastAsia="仿宋_GB2312"/>
          <w:sz w:val="32"/>
        </w:rPr>
        <w:t>加强经费保障。区财政局要根据“十四五”发展规划、专项规划的前期课题研究等编制需要，在本级预算中给予规划编制部门经费支持，保障“十四五”规划编制工作顺利开展。</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eastAsia="仿宋_GB2312"/>
          <w:color w:val="auto"/>
          <w:kern w:val="0"/>
          <w:sz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eastAsia="仿宋_GB2312"/>
          <w:color w:val="auto"/>
          <w:kern w:val="0"/>
          <w:sz w:val="32"/>
          <w:lang w:val="en-US" w:eastAsia="zh-CN" w:bidi="ar-SA"/>
        </w:rPr>
      </w:pPr>
      <w:r>
        <w:rPr>
          <w:rFonts w:hint="eastAsia"/>
          <w:color w:val="auto"/>
          <w:kern w:val="0"/>
          <w:sz w:val="32"/>
          <w:lang w:val="en-US" w:eastAsia="zh-CN" w:bidi="ar-SA"/>
        </w:rPr>
        <w:t xml:space="preserve">    </w:t>
      </w:r>
      <w:r>
        <w:rPr>
          <w:rFonts w:hint="eastAsia" w:eastAsia="仿宋_GB2312"/>
          <w:color w:val="auto"/>
          <w:kern w:val="0"/>
          <w:sz w:val="32"/>
          <w:lang w:val="en-US" w:eastAsia="zh-CN" w:bidi="ar-SA"/>
        </w:rPr>
        <w:t>附件：二道区“十四五”规划前期课题研究任务表</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eastAsia="仿宋_GB2312"/>
          <w:color w:val="auto"/>
          <w:kern w:val="0"/>
          <w:sz w:val="32"/>
          <w:lang w:val="en-US" w:eastAsia="zh-CN" w:bidi="ar-SA"/>
        </w:rPr>
        <w:sectPr>
          <w:headerReference r:id="rId3" w:type="default"/>
          <w:footerReference r:id="rId4" w:type="default"/>
          <w:pgSz w:w="11906" w:h="16838"/>
          <w:pgMar w:top="2098" w:right="1587" w:bottom="1985" w:left="1588" w:header="851" w:footer="992" w:gutter="0"/>
          <w:pgNumType w:fmt="numberInDash"/>
          <w:cols w:space="720" w:num="1"/>
          <w:docGrid w:type="lines" w:linePitch="579" w:charSpace="0"/>
        </w:sectPr>
      </w:pP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rPr>
      </w:pPr>
      <w:r>
        <w:rPr>
          <w:rFonts w:hint="eastAsia" w:ascii="宋体" w:hAnsi="宋体" w:eastAsia="宋体" w:cs="宋体"/>
          <w:b/>
          <w:bCs/>
          <w:sz w:val="44"/>
          <w:szCs w:val="44"/>
        </w:rPr>
        <w:t>二道区“十四五”规划前期课题研究任务表</w:t>
      </w:r>
    </w:p>
    <w:tbl>
      <w:tblPr>
        <w:tblStyle w:val="3"/>
        <w:tblW w:w="0" w:type="auto"/>
        <w:tblInd w:w="-4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666"/>
        <w:gridCol w:w="1276"/>
        <w:gridCol w:w="6415"/>
        <w:gridCol w:w="1658"/>
        <w:gridCol w:w="40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10" w:hRule="exact"/>
        </w:trPr>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i w:val="0"/>
                <w:snapToGrid/>
                <w:color w:val="000000"/>
                <w:sz w:val="25"/>
                <w:u w:val="none"/>
                <w:lang w:eastAsia="zh-CN"/>
              </w:rPr>
            </w:pPr>
            <w:r>
              <w:rPr>
                <w:rFonts w:hint="default" w:ascii="宋体" w:hAnsi="宋体" w:eastAsia="宋体"/>
                <w:b/>
                <w:i w:val="0"/>
                <w:snapToGrid/>
                <w:color w:val="000000"/>
                <w:sz w:val="25"/>
                <w:u w:val="none"/>
                <w:lang w:eastAsia="zh-CN"/>
              </w:rPr>
              <w:t>序号</w:t>
            </w:r>
          </w:p>
        </w:tc>
        <w:tc>
          <w:tcPr>
            <w:tcW w:w="7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i w:val="0"/>
                <w:snapToGrid/>
                <w:color w:val="000000"/>
                <w:sz w:val="25"/>
                <w:u w:val="none"/>
                <w:lang w:eastAsia="zh-CN"/>
              </w:rPr>
            </w:pPr>
            <w:r>
              <w:rPr>
                <w:rFonts w:hint="default" w:ascii="宋体" w:hAnsi="宋体" w:eastAsia="宋体"/>
                <w:b/>
                <w:i w:val="0"/>
                <w:snapToGrid/>
                <w:color w:val="000000"/>
                <w:sz w:val="25"/>
                <w:u w:val="none"/>
                <w:lang w:eastAsia="zh-CN"/>
              </w:rPr>
              <w:t>课题名称</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i w:val="0"/>
                <w:snapToGrid/>
                <w:color w:val="000000"/>
                <w:sz w:val="25"/>
                <w:u w:val="none"/>
                <w:lang w:eastAsia="zh-CN"/>
              </w:rPr>
            </w:pPr>
            <w:r>
              <w:rPr>
                <w:rFonts w:hint="default" w:ascii="宋体" w:hAnsi="宋体" w:eastAsia="宋体"/>
                <w:b/>
                <w:i w:val="0"/>
                <w:snapToGrid/>
                <w:color w:val="000000"/>
                <w:sz w:val="25"/>
                <w:u w:val="none"/>
                <w:lang w:eastAsia="zh-CN"/>
              </w:rPr>
              <w:t>责任单位</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i w:val="0"/>
                <w:snapToGrid/>
                <w:color w:val="000000"/>
                <w:sz w:val="25"/>
                <w:u w:val="none"/>
                <w:lang w:eastAsia="zh-CN"/>
              </w:rPr>
            </w:pPr>
            <w:r>
              <w:rPr>
                <w:rFonts w:hint="default" w:ascii="宋体" w:hAnsi="宋体" w:eastAsia="宋体"/>
                <w:b/>
                <w:i w:val="0"/>
                <w:snapToGrid/>
                <w:color w:val="000000"/>
                <w:sz w:val="25"/>
                <w:u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10" w:hRule="exact"/>
        </w:trPr>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1</w:t>
            </w:r>
          </w:p>
        </w:tc>
        <w:tc>
          <w:tcPr>
            <w:tcW w:w="7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二道区“十四五”规划基本思路研究</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发改局</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10" w:hRule="exact"/>
        </w:trPr>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2</w:t>
            </w:r>
          </w:p>
        </w:tc>
        <w:tc>
          <w:tcPr>
            <w:tcW w:w="12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经济发展类</w:t>
            </w:r>
          </w:p>
        </w:tc>
        <w:tc>
          <w:tcPr>
            <w:tcW w:w="6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“十四五”期间高质量发展指标体系研究</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统计分局</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10" w:hRule="exact"/>
        </w:trPr>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3</w:t>
            </w: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300" w:lineRule="exact"/>
              <w:ind w:left="0" w:leftChars="0" w:right="0" w:rightChars="0" w:firstLine="0" w:firstLineChars="0"/>
              <w:outlineLvl w:val="9"/>
              <w:rPr>
                <w:rFonts w:hint="default" w:ascii="宋体" w:hAnsi="宋体"/>
                <w:sz w:val="21"/>
                <w:szCs w:val="21"/>
              </w:rPr>
            </w:pPr>
          </w:p>
        </w:tc>
        <w:tc>
          <w:tcPr>
            <w:tcW w:w="6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关于</w:t>
            </w:r>
            <w:r>
              <w:rPr>
                <w:rFonts w:hint="default" w:ascii="Calibri" w:hAnsi="宋体"/>
                <w:b w:val="0"/>
                <w:i w:val="0"/>
                <w:snapToGrid/>
                <w:color w:val="000000"/>
                <w:sz w:val="21"/>
                <w:szCs w:val="21"/>
                <w:u w:val="none"/>
              </w:rPr>
              <w:t>“</w:t>
            </w:r>
            <w:r>
              <w:rPr>
                <w:rFonts w:hint="default" w:ascii="宋体" w:hAnsi="宋体" w:eastAsia="宋体"/>
                <w:b w:val="0"/>
                <w:i w:val="0"/>
                <w:snapToGrid/>
                <w:color w:val="000000"/>
                <w:sz w:val="21"/>
                <w:szCs w:val="21"/>
                <w:u w:val="none"/>
                <w:lang w:eastAsia="zh-CN"/>
              </w:rPr>
              <w:t>十四五</w:t>
            </w:r>
            <w:r>
              <w:rPr>
                <w:rFonts w:hint="default" w:ascii="Calibri" w:hAnsi="宋体"/>
                <w:b w:val="0"/>
                <w:i w:val="0"/>
                <w:snapToGrid/>
                <w:color w:val="000000"/>
                <w:sz w:val="21"/>
                <w:szCs w:val="21"/>
                <w:u w:val="none"/>
              </w:rPr>
              <w:t>”</w:t>
            </w:r>
            <w:r>
              <w:rPr>
                <w:rFonts w:hint="default" w:ascii="宋体" w:hAnsi="宋体" w:eastAsia="宋体"/>
                <w:b w:val="0"/>
                <w:i w:val="0"/>
                <w:snapToGrid/>
                <w:color w:val="000000"/>
                <w:sz w:val="21"/>
                <w:szCs w:val="21"/>
                <w:u w:val="none"/>
                <w:lang w:eastAsia="zh-CN"/>
              </w:rPr>
              <w:t>期间服务业高质量发展的目标、思路和重点举措研究</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发改局</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97" w:hRule="exact"/>
        </w:trPr>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4</w:t>
            </w: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300" w:lineRule="exact"/>
              <w:ind w:left="0" w:leftChars="0" w:right="0" w:rightChars="0" w:firstLine="0" w:firstLineChars="0"/>
              <w:outlineLvl w:val="9"/>
              <w:rPr>
                <w:rFonts w:hint="default" w:ascii="宋体" w:hAnsi="宋体"/>
                <w:sz w:val="21"/>
                <w:szCs w:val="21"/>
              </w:rPr>
            </w:pPr>
          </w:p>
        </w:tc>
        <w:tc>
          <w:tcPr>
            <w:tcW w:w="6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关于</w:t>
            </w:r>
            <w:r>
              <w:rPr>
                <w:rFonts w:hint="default" w:ascii="Calibri" w:hAnsi="宋体"/>
                <w:b w:val="0"/>
                <w:i w:val="0"/>
                <w:snapToGrid/>
                <w:color w:val="000000"/>
                <w:sz w:val="21"/>
                <w:szCs w:val="21"/>
                <w:u w:val="none"/>
              </w:rPr>
              <w:t>“</w:t>
            </w:r>
            <w:r>
              <w:rPr>
                <w:rFonts w:hint="default" w:ascii="宋体" w:hAnsi="宋体" w:eastAsia="宋体"/>
                <w:b w:val="0"/>
                <w:i w:val="0"/>
                <w:snapToGrid/>
                <w:color w:val="000000"/>
                <w:sz w:val="21"/>
                <w:szCs w:val="21"/>
                <w:u w:val="none"/>
                <w:lang w:eastAsia="zh-CN"/>
              </w:rPr>
              <w:t>十四五</w:t>
            </w:r>
            <w:r>
              <w:rPr>
                <w:rFonts w:hint="default" w:ascii="Calibri" w:hAnsi="宋体"/>
                <w:b w:val="0"/>
                <w:i w:val="0"/>
                <w:snapToGrid/>
                <w:color w:val="000000"/>
                <w:sz w:val="21"/>
                <w:szCs w:val="21"/>
                <w:u w:val="none"/>
              </w:rPr>
              <w:t>”</w:t>
            </w:r>
            <w:r>
              <w:rPr>
                <w:rFonts w:hint="default" w:ascii="宋体" w:hAnsi="宋体" w:eastAsia="宋体"/>
                <w:b w:val="0"/>
                <w:i w:val="0"/>
                <w:snapToGrid/>
                <w:color w:val="000000"/>
                <w:sz w:val="21"/>
                <w:szCs w:val="21"/>
                <w:u w:val="none"/>
                <w:lang w:eastAsia="zh-CN"/>
              </w:rPr>
              <w:t>期间新型工业发展的目标、思路和重点举措研究</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工信局</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left"/>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其中要包括战略性新</w:t>
            </w:r>
            <w:r>
              <w:rPr>
                <w:rFonts w:hint="eastAsia" w:ascii="宋体" w:hAnsi="宋体" w:eastAsia="宋体"/>
                <w:b w:val="0"/>
                <w:i w:val="0"/>
                <w:snapToGrid/>
                <w:color w:val="000000"/>
                <w:sz w:val="21"/>
                <w:szCs w:val="21"/>
                <w:u w:val="none"/>
                <w:lang w:eastAsia="zh-CN"/>
              </w:rPr>
              <w:t>兴</w:t>
            </w:r>
            <w:r>
              <w:rPr>
                <w:rFonts w:hint="default" w:ascii="宋体" w:hAnsi="宋体" w:eastAsia="宋体"/>
                <w:b w:val="0"/>
                <w:i w:val="0"/>
                <w:snapToGrid/>
                <w:color w:val="000000"/>
                <w:sz w:val="21"/>
                <w:szCs w:val="21"/>
                <w:u w:val="none"/>
                <w:lang w:eastAsia="zh-CN"/>
              </w:rPr>
              <w:t>产业发展的目标、思路和重点举措研究</w:t>
            </w:r>
            <w:r>
              <w:rPr>
                <w:rFonts w:hint="eastAsia" w:ascii="宋体" w:hAnsi="宋体" w:eastAsia="宋体"/>
                <w:b w:val="0"/>
                <w:i w:val="0"/>
                <w:snapToGrid/>
                <w:color w:val="000000"/>
                <w:sz w:val="21"/>
                <w:szCs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10" w:hRule="exact"/>
        </w:trPr>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5</w:t>
            </w: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300" w:lineRule="exact"/>
              <w:ind w:left="0" w:leftChars="0" w:right="0" w:rightChars="0" w:firstLine="0" w:firstLineChars="0"/>
              <w:outlineLvl w:val="9"/>
              <w:rPr>
                <w:rFonts w:hint="default" w:ascii="宋体" w:hAnsi="宋体"/>
                <w:sz w:val="21"/>
                <w:szCs w:val="21"/>
              </w:rPr>
            </w:pPr>
          </w:p>
        </w:tc>
        <w:tc>
          <w:tcPr>
            <w:tcW w:w="6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关于“十四五”期间促进民营经济发展的目标、思路和</w:t>
            </w:r>
            <w:r>
              <w:rPr>
                <w:rFonts w:hint="eastAsia" w:ascii="宋体" w:hAnsi="宋体" w:eastAsia="宋体"/>
                <w:b w:val="0"/>
                <w:i w:val="0"/>
                <w:snapToGrid/>
                <w:color w:val="000000"/>
                <w:sz w:val="21"/>
                <w:szCs w:val="21"/>
                <w:u w:val="none"/>
                <w:lang w:eastAsia="zh-CN"/>
              </w:rPr>
              <w:t>重点</w:t>
            </w:r>
            <w:r>
              <w:rPr>
                <w:rFonts w:hint="default" w:ascii="宋体" w:hAnsi="宋体" w:eastAsia="宋体"/>
                <w:b w:val="0"/>
                <w:i w:val="0"/>
                <w:snapToGrid/>
                <w:color w:val="000000"/>
                <w:sz w:val="21"/>
                <w:szCs w:val="21"/>
                <w:u w:val="none"/>
                <w:lang w:eastAsia="zh-CN"/>
              </w:rPr>
              <w:t>举措研究</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工信局</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10" w:hRule="exact"/>
        </w:trPr>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6</w:t>
            </w: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300" w:lineRule="exact"/>
              <w:ind w:left="0" w:leftChars="0" w:right="0" w:rightChars="0" w:firstLine="0" w:firstLineChars="0"/>
              <w:outlineLvl w:val="9"/>
              <w:rPr>
                <w:rFonts w:hint="default" w:ascii="宋体" w:hAnsi="宋体"/>
                <w:sz w:val="21"/>
                <w:szCs w:val="21"/>
              </w:rPr>
            </w:pPr>
          </w:p>
        </w:tc>
        <w:tc>
          <w:tcPr>
            <w:tcW w:w="6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“十四五”时期招商引资的路径和模式研究</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商务局</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10" w:hRule="exact"/>
        </w:trPr>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7</w:t>
            </w: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300" w:lineRule="exact"/>
              <w:ind w:left="0" w:leftChars="0" w:right="0" w:rightChars="0" w:firstLine="0" w:firstLineChars="0"/>
              <w:outlineLvl w:val="9"/>
              <w:rPr>
                <w:rFonts w:hint="default" w:ascii="宋体" w:hAnsi="宋体"/>
                <w:sz w:val="21"/>
                <w:szCs w:val="21"/>
              </w:rPr>
            </w:pPr>
          </w:p>
        </w:tc>
        <w:tc>
          <w:tcPr>
            <w:tcW w:w="6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十四五”期间优化财政管理水平的对策研究</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财政局</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10" w:hRule="exact"/>
        </w:trPr>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8</w:t>
            </w: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300" w:lineRule="exact"/>
              <w:ind w:left="0" w:leftChars="0" w:right="0" w:rightChars="0" w:firstLine="0" w:firstLineChars="0"/>
              <w:outlineLvl w:val="9"/>
              <w:rPr>
                <w:rFonts w:hint="default" w:ascii="宋体" w:hAnsi="宋体"/>
                <w:sz w:val="21"/>
                <w:szCs w:val="21"/>
              </w:rPr>
            </w:pPr>
          </w:p>
        </w:tc>
        <w:tc>
          <w:tcPr>
            <w:tcW w:w="6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Calibri" w:hAnsi="宋体"/>
                <w:b w:val="0"/>
                <w:i w:val="0"/>
                <w:snapToGrid/>
                <w:color w:val="000000"/>
                <w:sz w:val="21"/>
                <w:szCs w:val="21"/>
                <w:u w:val="none"/>
              </w:rPr>
            </w:pPr>
            <w:r>
              <w:rPr>
                <w:rFonts w:hint="default" w:ascii="Calibri" w:hAnsi="宋体"/>
                <w:b w:val="0"/>
                <w:i w:val="0"/>
                <w:snapToGrid/>
                <w:color w:val="000000"/>
                <w:sz w:val="21"/>
                <w:szCs w:val="21"/>
                <w:u w:val="none"/>
              </w:rPr>
              <w:t>“</w:t>
            </w:r>
            <w:r>
              <w:rPr>
                <w:rFonts w:hint="default" w:ascii="宋体" w:hAnsi="宋体" w:eastAsia="宋体"/>
                <w:b w:val="0"/>
                <w:i w:val="0"/>
                <w:snapToGrid/>
                <w:color w:val="000000"/>
                <w:sz w:val="21"/>
                <w:szCs w:val="21"/>
                <w:u w:val="none"/>
                <w:lang w:eastAsia="zh-CN"/>
              </w:rPr>
              <w:t>十四五</w:t>
            </w:r>
            <w:r>
              <w:rPr>
                <w:rFonts w:hint="default" w:ascii="Calibri" w:hAnsi="宋体"/>
                <w:b w:val="0"/>
                <w:i w:val="0"/>
                <w:snapToGrid/>
                <w:color w:val="000000"/>
                <w:sz w:val="21"/>
                <w:szCs w:val="21"/>
                <w:u w:val="none"/>
              </w:rPr>
              <w:t>”</w:t>
            </w:r>
            <w:r>
              <w:rPr>
                <w:rFonts w:hint="default" w:ascii="宋体" w:hAnsi="宋体" w:eastAsia="宋体"/>
                <w:b w:val="0"/>
                <w:i w:val="0"/>
                <w:snapToGrid/>
                <w:color w:val="000000"/>
                <w:sz w:val="21"/>
                <w:szCs w:val="21"/>
                <w:u w:val="none"/>
                <w:lang w:eastAsia="zh-CN"/>
              </w:rPr>
              <w:t>期间推动文化旅游产业发展的目标、思路和重点举措研究</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文旅局</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13" w:hRule="exact"/>
        </w:trPr>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9</w:t>
            </w: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300" w:lineRule="exact"/>
              <w:ind w:left="0" w:leftChars="0" w:right="0" w:rightChars="0" w:firstLine="0" w:firstLineChars="0"/>
              <w:outlineLvl w:val="9"/>
              <w:rPr>
                <w:rFonts w:hint="default" w:ascii="宋体" w:hAnsi="宋体"/>
                <w:sz w:val="21"/>
                <w:szCs w:val="21"/>
              </w:rPr>
            </w:pPr>
          </w:p>
        </w:tc>
        <w:tc>
          <w:tcPr>
            <w:tcW w:w="6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“十四五”期间“数字二道”建设发展的目标、思路和重点举措研究</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政数局</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left"/>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其中要包括支撑数字二道发展的各项基础设施的现状与十四五期间实际需求的研究</w:t>
            </w:r>
            <w:r>
              <w:rPr>
                <w:rFonts w:hint="eastAsia" w:ascii="宋体" w:hAnsi="宋体" w:eastAsia="宋体"/>
                <w:b w:val="0"/>
                <w:i w:val="0"/>
                <w:snapToGrid/>
                <w:color w:val="000000"/>
                <w:sz w:val="21"/>
                <w:szCs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10" w:hRule="exact"/>
        </w:trPr>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10</w:t>
            </w: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300" w:lineRule="exact"/>
              <w:ind w:left="0" w:leftChars="0" w:right="0" w:rightChars="0" w:firstLine="0" w:firstLineChars="0"/>
              <w:outlineLvl w:val="9"/>
              <w:rPr>
                <w:rFonts w:hint="default" w:ascii="宋体" w:hAnsi="宋体"/>
                <w:sz w:val="21"/>
                <w:szCs w:val="21"/>
              </w:rPr>
            </w:pPr>
          </w:p>
        </w:tc>
        <w:tc>
          <w:tcPr>
            <w:tcW w:w="6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“十四五”期间优化营商环境研究</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政数局</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left"/>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其中要包括社会信用体系建设研究</w:t>
            </w:r>
            <w:r>
              <w:rPr>
                <w:rFonts w:hint="eastAsia" w:ascii="宋体" w:hAnsi="宋体" w:eastAsia="宋体"/>
                <w:b w:val="0"/>
                <w:i w:val="0"/>
                <w:snapToGrid/>
                <w:color w:val="000000"/>
                <w:sz w:val="21"/>
                <w:szCs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10" w:hRule="exact"/>
        </w:trPr>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11</w:t>
            </w:r>
          </w:p>
        </w:tc>
        <w:tc>
          <w:tcPr>
            <w:tcW w:w="12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城市管理和建设类</w:t>
            </w:r>
          </w:p>
        </w:tc>
        <w:tc>
          <w:tcPr>
            <w:tcW w:w="6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“十四五”期间城市基础设施建设提升承载能力研究</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住建局</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left"/>
              <w:textAlignment w:val="center"/>
              <w:outlineLvl w:val="9"/>
              <w:rPr>
                <w:rFonts w:hint="default" w:ascii="宋体" w:hAnsi="宋体" w:eastAsia="宋体"/>
                <w:b w:val="0"/>
                <w:i w:val="0"/>
                <w:snapToGrid/>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10" w:hRule="exact"/>
        </w:trPr>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12</w:t>
            </w: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300" w:lineRule="exact"/>
              <w:ind w:left="0" w:leftChars="0" w:right="0" w:rightChars="0" w:firstLine="0" w:firstLineChars="0"/>
              <w:outlineLvl w:val="9"/>
              <w:rPr>
                <w:rFonts w:hint="default" w:ascii="宋体" w:hAnsi="宋体"/>
                <w:sz w:val="21"/>
                <w:szCs w:val="21"/>
              </w:rPr>
            </w:pPr>
          </w:p>
        </w:tc>
        <w:tc>
          <w:tcPr>
            <w:tcW w:w="6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Calibri" w:hAnsi="宋体"/>
                <w:b w:val="0"/>
                <w:i w:val="0"/>
                <w:snapToGrid/>
                <w:color w:val="000000"/>
                <w:sz w:val="21"/>
                <w:szCs w:val="21"/>
                <w:u w:val="none"/>
              </w:rPr>
            </w:pPr>
            <w:r>
              <w:rPr>
                <w:rFonts w:hint="default" w:ascii="Calibri" w:hAnsi="宋体"/>
                <w:b w:val="0"/>
                <w:i w:val="0"/>
                <w:snapToGrid/>
                <w:color w:val="000000"/>
                <w:sz w:val="21"/>
                <w:szCs w:val="21"/>
                <w:u w:val="none"/>
              </w:rPr>
              <w:t>“</w:t>
            </w:r>
            <w:r>
              <w:rPr>
                <w:rFonts w:hint="default" w:ascii="宋体" w:hAnsi="宋体" w:eastAsia="宋体"/>
                <w:b w:val="0"/>
                <w:i w:val="0"/>
                <w:snapToGrid/>
                <w:color w:val="000000"/>
                <w:sz w:val="21"/>
                <w:szCs w:val="21"/>
                <w:u w:val="none"/>
                <w:lang w:eastAsia="zh-CN"/>
              </w:rPr>
              <w:t>十四五</w:t>
            </w:r>
            <w:r>
              <w:rPr>
                <w:rFonts w:hint="default" w:ascii="Calibri" w:hAnsi="宋体"/>
                <w:b w:val="0"/>
                <w:i w:val="0"/>
                <w:snapToGrid/>
                <w:color w:val="000000"/>
                <w:sz w:val="21"/>
                <w:szCs w:val="21"/>
                <w:u w:val="none"/>
              </w:rPr>
              <w:t>”</w:t>
            </w:r>
            <w:r>
              <w:rPr>
                <w:rFonts w:hint="default" w:ascii="宋体" w:hAnsi="宋体" w:eastAsia="宋体"/>
                <w:b w:val="0"/>
                <w:i w:val="0"/>
                <w:snapToGrid/>
                <w:color w:val="000000"/>
                <w:sz w:val="21"/>
                <w:szCs w:val="21"/>
                <w:u w:val="none"/>
                <w:lang w:eastAsia="zh-CN"/>
              </w:rPr>
              <w:t>期间优化城市建设管理的目标、思路和重点举措研究</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城管办</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99" w:hRule="exact"/>
        </w:trPr>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13</w:t>
            </w: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300" w:lineRule="exact"/>
              <w:ind w:left="0" w:leftChars="0" w:right="0" w:rightChars="0" w:firstLine="0" w:firstLineChars="0"/>
              <w:outlineLvl w:val="9"/>
              <w:rPr>
                <w:rFonts w:hint="default" w:ascii="宋体" w:hAnsi="宋体"/>
                <w:sz w:val="21"/>
                <w:szCs w:val="21"/>
              </w:rPr>
            </w:pPr>
          </w:p>
        </w:tc>
        <w:tc>
          <w:tcPr>
            <w:tcW w:w="6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Calibri" w:hAnsi="宋体"/>
                <w:b w:val="0"/>
                <w:i w:val="0"/>
                <w:snapToGrid/>
                <w:color w:val="000000"/>
                <w:sz w:val="21"/>
                <w:szCs w:val="21"/>
                <w:u w:val="none"/>
              </w:rPr>
            </w:pPr>
            <w:r>
              <w:rPr>
                <w:rFonts w:hint="default" w:ascii="Calibri" w:hAnsi="宋体"/>
                <w:b w:val="0"/>
                <w:i w:val="0"/>
                <w:snapToGrid/>
                <w:color w:val="000000"/>
                <w:sz w:val="21"/>
                <w:szCs w:val="21"/>
                <w:u w:val="none"/>
              </w:rPr>
              <w:t>“</w:t>
            </w:r>
            <w:r>
              <w:rPr>
                <w:rFonts w:hint="default" w:ascii="宋体" w:hAnsi="宋体" w:eastAsia="宋体"/>
                <w:b w:val="0"/>
                <w:i w:val="0"/>
                <w:snapToGrid/>
                <w:color w:val="000000"/>
                <w:sz w:val="21"/>
                <w:szCs w:val="21"/>
                <w:u w:val="none"/>
                <w:lang w:eastAsia="zh-CN"/>
              </w:rPr>
              <w:t>十四五</w:t>
            </w:r>
            <w:r>
              <w:rPr>
                <w:rFonts w:hint="default" w:ascii="Calibri" w:hAnsi="宋体"/>
                <w:b w:val="0"/>
                <w:i w:val="0"/>
                <w:snapToGrid/>
                <w:color w:val="000000"/>
                <w:sz w:val="21"/>
                <w:szCs w:val="21"/>
                <w:u w:val="none"/>
              </w:rPr>
              <w:t>”</w:t>
            </w:r>
            <w:r>
              <w:rPr>
                <w:rFonts w:hint="default" w:ascii="宋体" w:hAnsi="宋体" w:eastAsia="宋体"/>
                <w:b w:val="0"/>
                <w:i w:val="0"/>
                <w:snapToGrid/>
                <w:color w:val="000000"/>
                <w:sz w:val="21"/>
                <w:szCs w:val="21"/>
                <w:u w:val="none"/>
                <w:lang w:eastAsia="zh-CN"/>
              </w:rPr>
              <w:t>期间全面实施乡村振兴战略的目标、思路和重点举措研究</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农业农村局</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left"/>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其中要包括都市现代农业发展研究、农产品研究等</w:t>
            </w:r>
            <w:r>
              <w:rPr>
                <w:rFonts w:hint="eastAsia" w:ascii="宋体" w:hAnsi="宋体" w:eastAsia="宋体"/>
                <w:b w:val="0"/>
                <w:i w:val="0"/>
                <w:snapToGrid/>
                <w:color w:val="000000"/>
                <w:sz w:val="21"/>
                <w:szCs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10" w:hRule="exact"/>
        </w:trPr>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14</w:t>
            </w: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300" w:lineRule="exact"/>
              <w:ind w:left="0" w:leftChars="0" w:right="0" w:rightChars="0" w:firstLine="0" w:firstLineChars="0"/>
              <w:outlineLvl w:val="9"/>
              <w:rPr>
                <w:rFonts w:hint="default" w:ascii="宋体" w:hAnsi="宋体"/>
                <w:sz w:val="21"/>
                <w:szCs w:val="21"/>
              </w:rPr>
            </w:pPr>
          </w:p>
        </w:tc>
        <w:tc>
          <w:tcPr>
            <w:tcW w:w="6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Calibri" w:hAnsi="宋体"/>
                <w:b w:val="0"/>
                <w:i w:val="0"/>
                <w:snapToGrid/>
                <w:color w:val="000000"/>
                <w:sz w:val="21"/>
                <w:szCs w:val="21"/>
                <w:u w:val="none"/>
              </w:rPr>
            </w:pPr>
            <w:r>
              <w:rPr>
                <w:rFonts w:hint="default" w:ascii="Calibri" w:hAnsi="宋体"/>
                <w:b w:val="0"/>
                <w:i w:val="0"/>
                <w:snapToGrid/>
                <w:color w:val="000000"/>
                <w:sz w:val="21"/>
                <w:szCs w:val="21"/>
                <w:u w:val="none"/>
              </w:rPr>
              <w:t>“</w:t>
            </w:r>
            <w:r>
              <w:rPr>
                <w:rFonts w:hint="default" w:ascii="宋体" w:hAnsi="宋体" w:eastAsia="宋体"/>
                <w:b w:val="0"/>
                <w:i w:val="0"/>
                <w:snapToGrid/>
                <w:color w:val="000000"/>
                <w:sz w:val="21"/>
                <w:szCs w:val="21"/>
                <w:u w:val="none"/>
                <w:lang w:eastAsia="zh-CN"/>
              </w:rPr>
              <w:t>十四五</w:t>
            </w:r>
            <w:r>
              <w:rPr>
                <w:rFonts w:hint="default" w:ascii="Calibri" w:hAnsi="宋体"/>
                <w:b w:val="0"/>
                <w:i w:val="0"/>
                <w:snapToGrid/>
                <w:color w:val="000000"/>
                <w:sz w:val="21"/>
                <w:szCs w:val="21"/>
                <w:u w:val="none"/>
              </w:rPr>
              <w:t>”</w:t>
            </w:r>
            <w:r>
              <w:rPr>
                <w:rFonts w:hint="default" w:ascii="宋体" w:hAnsi="宋体" w:eastAsia="宋体"/>
                <w:b w:val="0"/>
                <w:i w:val="0"/>
                <w:snapToGrid/>
                <w:color w:val="000000"/>
                <w:sz w:val="21"/>
                <w:szCs w:val="21"/>
                <w:u w:val="none"/>
                <w:lang w:eastAsia="zh-CN"/>
              </w:rPr>
              <w:t>期间持续改善生态环境的目标、思路和重点举措研究</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生态环境分局</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08" w:hRule="exact"/>
        </w:trPr>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15</w:t>
            </w:r>
          </w:p>
        </w:tc>
        <w:tc>
          <w:tcPr>
            <w:tcW w:w="12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民生类</w:t>
            </w:r>
          </w:p>
        </w:tc>
        <w:tc>
          <w:tcPr>
            <w:tcW w:w="6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Calibri" w:hAnsi="宋体"/>
                <w:b w:val="0"/>
                <w:i w:val="0"/>
                <w:snapToGrid/>
                <w:color w:val="000000"/>
                <w:sz w:val="21"/>
                <w:szCs w:val="21"/>
                <w:u w:val="none"/>
              </w:rPr>
            </w:pPr>
            <w:r>
              <w:rPr>
                <w:rFonts w:hint="default" w:ascii="Calibri" w:hAnsi="宋体"/>
                <w:b w:val="0"/>
                <w:i w:val="0"/>
                <w:snapToGrid/>
                <w:color w:val="000000"/>
                <w:sz w:val="21"/>
                <w:szCs w:val="21"/>
                <w:u w:val="none"/>
              </w:rPr>
              <w:t>“</w:t>
            </w:r>
            <w:r>
              <w:rPr>
                <w:rFonts w:hint="default" w:ascii="宋体" w:hAnsi="宋体" w:eastAsia="宋体"/>
                <w:b w:val="0"/>
                <w:i w:val="0"/>
                <w:snapToGrid/>
                <w:color w:val="000000"/>
                <w:sz w:val="21"/>
                <w:szCs w:val="21"/>
                <w:u w:val="none"/>
                <w:lang w:eastAsia="zh-CN"/>
              </w:rPr>
              <w:t>十四五</w:t>
            </w:r>
            <w:r>
              <w:rPr>
                <w:rFonts w:hint="default" w:ascii="Calibri" w:hAnsi="宋体"/>
                <w:b w:val="0"/>
                <w:i w:val="0"/>
                <w:snapToGrid/>
                <w:color w:val="000000"/>
                <w:sz w:val="21"/>
                <w:szCs w:val="21"/>
                <w:u w:val="none"/>
              </w:rPr>
              <w:t>”</w:t>
            </w:r>
            <w:r>
              <w:rPr>
                <w:rFonts w:hint="default" w:ascii="宋体" w:hAnsi="宋体" w:eastAsia="宋体"/>
                <w:b w:val="0"/>
                <w:i w:val="0"/>
                <w:snapToGrid/>
                <w:color w:val="000000"/>
                <w:sz w:val="21"/>
                <w:szCs w:val="21"/>
                <w:u w:val="none"/>
                <w:lang w:eastAsia="zh-CN"/>
              </w:rPr>
              <w:t>期间推动教育现代化发展的目标、思路和重点举措研究</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教育局</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left"/>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包含区内教育资源的发展水平与全市、全省、东北三省的比较研究</w:t>
            </w:r>
            <w:r>
              <w:rPr>
                <w:rFonts w:hint="eastAsia" w:ascii="宋体" w:hAnsi="宋体" w:eastAsia="宋体"/>
                <w:b w:val="0"/>
                <w:i w:val="0"/>
                <w:snapToGrid/>
                <w:color w:val="000000"/>
                <w:sz w:val="21"/>
                <w:szCs w:val="21"/>
                <w:u w:val="none"/>
                <w:lang w:eastAsia="zh-CN"/>
              </w:rPr>
              <w:t>。</w:t>
            </w:r>
            <w:r>
              <w:rPr>
                <w:rFonts w:hint="default" w:ascii="Arial" w:hAnsi="宋体"/>
                <w:b w:val="0"/>
                <w:i w:val="0"/>
                <w:snapToGrid/>
                <w:color w:val="000000"/>
                <w:sz w:val="21"/>
                <w:szCs w:val="21"/>
                <w:u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10" w:hRule="exact"/>
        </w:trPr>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16</w:t>
            </w: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300" w:lineRule="exact"/>
              <w:ind w:left="0" w:leftChars="0" w:right="0" w:rightChars="0" w:firstLine="0" w:firstLineChars="0"/>
              <w:outlineLvl w:val="9"/>
              <w:rPr>
                <w:rFonts w:hint="default" w:ascii="宋体" w:hAnsi="宋体"/>
                <w:sz w:val="21"/>
                <w:szCs w:val="21"/>
              </w:rPr>
            </w:pPr>
          </w:p>
        </w:tc>
        <w:tc>
          <w:tcPr>
            <w:tcW w:w="6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Calibri" w:hAnsi="宋体"/>
                <w:b w:val="0"/>
                <w:i w:val="0"/>
                <w:snapToGrid/>
                <w:color w:val="000000"/>
                <w:sz w:val="21"/>
                <w:szCs w:val="21"/>
                <w:u w:val="none"/>
              </w:rPr>
            </w:pPr>
            <w:r>
              <w:rPr>
                <w:rFonts w:hint="default" w:ascii="Calibri" w:hAnsi="宋体"/>
                <w:b w:val="0"/>
                <w:i w:val="0"/>
                <w:snapToGrid/>
                <w:color w:val="000000"/>
                <w:sz w:val="21"/>
                <w:szCs w:val="21"/>
                <w:u w:val="none"/>
              </w:rPr>
              <w:t>“</w:t>
            </w:r>
            <w:r>
              <w:rPr>
                <w:rFonts w:hint="default" w:ascii="宋体" w:hAnsi="宋体" w:eastAsia="宋体"/>
                <w:b w:val="0"/>
                <w:i w:val="0"/>
                <w:snapToGrid/>
                <w:color w:val="000000"/>
                <w:sz w:val="21"/>
                <w:szCs w:val="21"/>
                <w:u w:val="none"/>
                <w:lang w:eastAsia="zh-CN"/>
              </w:rPr>
              <w:t>十四五</w:t>
            </w:r>
            <w:r>
              <w:rPr>
                <w:rFonts w:hint="default" w:ascii="Calibri" w:hAnsi="宋体"/>
                <w:b w:val="0"/>
                <w:i w:val="0"/>
                <w:snapToGrid/>
                <w:color w:val="000000"/>
                <w:sz w:val="21"/>
                <w:szCs w:val="21"/>
                <w:u w:val="none"/>
              </w:rPr>
              <w:t>”</w:t>
            </w:r>
            <w:r>
              <w:rPr>
                <w:rFonts w:hint="default" w:ascii="宋体" w:hAnsi="宋体" w:eastAsia="宋体"/>
                <w:b w:val="0"/>
                <w:i w:val="0"/>
                <w:snapToGrid/>
                <w:color w:val="000000"/>
                <w:sz w:val="21"/>
                <w:szCs w:val="21"/>
                <w:u w:val="none"/>
                <w:lang w:eastAsia="zh-CN"/>
              </w:rPr>
              <w:t>期间卫生健康服务体系建设的目标、思路和重点举措研究</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卫健局</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left"/>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其中要包括社会心理服务体系建设研究。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10" w:hRule="exact"/>
        </w:trPr>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17</w:t>
            </w:r>
          </w:p>
        </w:tc>
        <w:tc>
          <w:tcPr>
            <w:tcW w:w="12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社会治理类</w:t>
            </w:r>
          </w:p>
        </w:tc>
        <w:tc>
          <w:tcPr>
            <w:tcW w:w="6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依法治区及法治政府建设工作研究</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司法局</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10" w:hRule="exact"/>
        </w:trPr>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18</w:t>
            </w: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300" w:lineRule="exact"/>
              <w:ind w:left="0" w:leftChars="0" w:right="0" w:rightChars="0" w:firstLine="0" w:firstLineChars="0"/>
              <w:outlineLvl w:val="9"/>
              <w:rPr>
                <w:rFonts w:hint="default" w:ascii="宋体" w:hAnsi="宋体"/>
                <w:sz w:val="21"/>
                <w:szCs w:val="21"/>
              </w:rPr>
            </w:pPr>
          </w:p>
        </w:tc>
        <w:tc>
          <w:tcPr>
            <w:tcW w:w="6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预防和化解社会矛盾机制建设研究</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信访局</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10" w:hRule="exact"/>
        </w:trPr>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19</w:t>
            </w: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300" w:lineRule="exact"/>
              <w:ind w:left="0" w:leftChars="0" w:right="0" w:rightChars="0" w:firstLine="0" w:firstLineChars="0"/>
              <w:outlineLvl w:val="9"/>
              <w:rPr>
                <w:rFonts w:hint="default" w:ascii="宋体" w:hAnsi="宋体"/>
                <w:sz w:val="21"/>
                <w:szCs w:val="21"/>
              </w:rPr>
            </w:pPr>
          </w:p>
        </w:tc>
        <w:tc>
          <w:tcPr>
            <w:tcW w:w="6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健全公共安全体系建设研究</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应急局</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left"/>
              <w:textAlignment w:val="center"/>
              <w:outlineLvl w:val="9"/>
              <w:rPr>
                <w:rFonts w:hint="default" w:ascii="Calibri" w:hAnsi="宋体"/>
                <w:b w:val="0"/>
                <w:i w:val="0"/>
                <w:snapToGrid/>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65" w:hRule="exact"/>
        </w:trPr>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20</w:t>
            </w: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300" w:lineRule="exact"/>
              <w:ind w:left="0" w:leftChars="0" w:right="0" w:rightChars="0" w:firstLine="0" w:firstLineChars="0"/>
              <w:outlineLvl w:val="9"/>
              <w:rPr>
                <w:rFonts w:hint="default" w:ascii="宋体" w:hAnsi="宋体"/>
                <w:sz w:val="21"/>
                <w:szCs w:val="21"/>
              </w:rPr>
            </w:pPr>
          </w:p>
        </w:tc>
        <w:tc>
          <w:tcPr>
            <w:tcW w:w="6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健全完善新形势下我区社会治理体系建设及</w:t>
            </w:r>
            <w:r>
              <w:rPr>
                <w:rFonts w:hint="default" w:ascii="宋体" w:hAnsi="宋体" w:eastAsia="宋体"/>
                <w:b w:val="0"/>
                <w:i w:val="0"/>
                <w:snapToGrid/>
                <w:color w:val="000000"/>
                <w:sz w:val="21"/>
                <w:szCs w:val="21"/>
                <w:u w:val="none"/>
                <w:lang w:eastAsia="zh-CN"/>
              </w:rPr>
              <w:br w:type="textWrapping"/>
            </w:r>
            <w:r>
              <w:rPr>
                <w:rFonts w:hint="default" w:ascii="宋体" w:hAnsi="宋体" w:eastAsia="宋体"/>
                <w:b w:val="0"/>
                <w:i w:val="0"/>
                <w:snapToGrid/>
                <w:color w:val="000000"/>
                <w:sz w:val="21"/>
                <w:szCs w:val="21"/>
                <w:u w:val="none"/>
                <w:lang w:eastAsia="zh-CN"/>
              </w:rPr>
              <w:t>提高基层社会治理能力水平的研究</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政法委</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10" w:hRule="exact"/>
        </w:trPr>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21</w:t>
            </w: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300" w:lineRule="exact"/>
              <w:ind w:left="0" w:leftChars="0" w:right="0" w:rightChars="0" w:firstLine="0" w:firstLineChars="0"/>
              <w:outlineLvl w:val="9"/>
              <w:rPr>
                <w:rFonts w:hint="default" w:ascii="宋体" w:hAnsi="宋体"/>
                <w:sz w:val="21"/>
                <w:szCs w:val="21"/>
              </w:rPr>
            </w:pPr>
          </w:p>
        </w:tc>
        <w:tc>
          <w:tcPr>
            <w:tcW w:w="6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社区治理体系建设研究</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民政局</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310" w:hRule="exact"/>
        </w:trPr>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22</w:t>
            </w:r>
          </w:p>
        </w:tc>
        <w:tc>
          <w:tcPr>
            <w:tcW w:w="7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“十四五”期间推进开发区发展研究</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物流开发区</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left"/>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重点包括但不限于做大先进制造、新型建材、新材料“三个集群”、做强东城商业商务、商贸服务型物流枢纽“两个中心”、打造休闲农业“一个基地”等内容。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05" w:hRule="exact"/>
        </w:trPr>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23</w:t>
            </w:r>
          </w:p>
        </w:tc>
        <w:tc>
          <w:tcPr>
            <w:tcW w:w="7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“十四五”期间推进区域发展目标、思路及举措研究</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各街道</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left"/>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重点包括但不限于产业定位、布局、路径研究、举措等；城市建设、民生领域和社会领域发展亮点等。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62" w:hRule="exact"/>
        </w:trPr>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24</w:t>
            </w:r>
          </w:p>
        </w:tc>
        <w:tc>
          <w:tcPr>
            <w:tcW w:w="7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推进英俊镇发展的目标</w:t>
            </w:r>
            <w:r>
              <w:rPr>
                <w:rFonts w:hint="eastAsia" w:ascii="宋体" w:hAnsi="宋体" w:eastAsia="宋体"/>
                <w:b w:val="0"/>
                <w:i w:val="0"/>
                <w:snapToGrid/>
                <w:color w:val="000000"/>
                <w:sz w:val="21"/>
                <w:szCs w:val="21"/>
                <w:u w:val="none"/>
                <w:lang w:eastAsia="zh-CN"/>
              </w:rPr>
              <w:t>、</w:t>
            </w:r>
            <w:r>
              <w:rPr>
                <w:rFonts w:hint="default" w:ascii="宋体" w:hAnsi="宋体" w:eastAsia="宋体"/>
                <w:b w:val="0"/>
                <w:i w:val="0"/>
                <w:snapToGrid/>
                <w:color w:val="000000"/>
                <w:sz w:val="21"/>
                <w:szCs w:val="21"/>
                <w:u w:val="none"/>
                <w:lang w:eastAsia="zh-CN"/>
              </w:rPr>
              <w:t>思路</w:t>
            </w:r>
            <w:r>
              <w:rPr>
                <w:rFonts w:hint="eastAsia" w:ascii="宋体" w:hAnsi="宋体" w:eastAsia="宋体"/>
                <w:b w:val="0"/>
                <w:i w:val="0"/>
                <w:snapToGrid/>
                <w:color w:val="000000"/>
                <w:sz w:val="21"/>
                <w:szCs w:val="21"/>
                <w:u w:val="none"/>
                <w:lang w:eastAsia="zh-CN"/>
              </w:rPr>
              <w:t>及</w:t>
            </w:r>
            <w:r>
              <w:rPr>
                <w:rFonts w:hint="default" w:ascii="宋体" w:hAnsi="宋体" w:eastAsia="宋体"/>
                <w:b w:val="0"/>
                <w:i w:val="0"/>
                <w:snapToGrid/>
                <w:color w:val="000000"/>
                <w:sz w:val="21"/>
                <w:szCs w:val="21"/>
                <w:u w:val="none"/>
                <w:lang w:eastAsia="zh-CN"/>
              </w:rPr>
              <w:t>举措的研究</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英俊镇</w:t>
            </w:r>
          </w:p>
        </w:tc>
        <w:tc>
          <w:tcPr>
            <w:tcW w:w="4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left"/>
              <w:textAlignment w:val="center"/>
              <w:outlineLvl w:val="9"/>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重点包括如何更好的推进社会事务、基层治理、公共服务、企业发展等内容。</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hint="eastAsia" w:ascii="Times New Roman" w:hAnsi="Times New Roman" w:eastAsia="仿宋_GB2312"/>
        <w:sz w:val="18"/>
      </w:rPr>
    </w:pPr>
    <w:r>
      <w:rPr>
        <w:rFonts w:hint="eastAsia" w:ascii="Times New Roman" w:hAnsi="Times New Roman" w:eastAsia="仿宋_GB2312"/>
        <w:sz w:val="18"/>
      </w:rPr>
      <w:fldChar w:fldCharType="begin"/>
    </w:r>
    <w:r>
      <w:rPr>
        <w:rFonts w:hint="eastAsia" w:ascii="Times New Roman" w:hAnsi="Times New Roman" w:eastAsia="仿宋_GB2312"/>
        <w:sz w:val="18"/>
      </w:rPr>
      <w:instrText xml:space="preserve">PAGE</w:instrText>
    </w:r>
    <w:r>
      <w:rPr>
        <w:rFonts w:hint="eastAsia" w:ascii="Times New Roman" w:hAnsi="Times New Roman" w:eastAsia="仿宋_GB2312"/>
        <w:sz w:val="18"/>
      </w:rPr>
      <w:fldChar w:fldCharType="separate"/>
    </w:r>
    <w:r>
      <w:rPr>
        <w:rFonts w:ascii="Times New Roman" w:hAnsi="Times New Roman" w:eastAsia="仿宋_GB2312"/>
        <w:sz w:val="18"/>
      </w:rPr>
      <w:t>1</w:t>
    </w:r>
    <w:r>
      <w:rPr>
        <w:rFonts w:hint="eastAsia" w:ascii="Times New Roman" w:hAnsi="Times New Roman" w:eastAsia="仿宋_GB2312"/>
        <w:sz w:val="18"/>
      </w:rPr>
      <w:fldChar w:fldCharType="end"/>
    </w:r>
  </w:p>
  <w:p>
    <w:pPr>
      <w:snapToGrid w:val="0"/>
      <w:ind w:right="360"/>
      <w:jc w:val="left"/>
      <w:rPr>
        <w:rFonts w:hint="eastAsia" w:ascii="Times New Roman" w:hAnsi="Times New Roman" w:eastAsia="仿宋_GB2312"/>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hint="eastAsia" w:ascii="Times New Roman" w:hAnsi="Times New Roman" w:eastAsia="仿宋_GB2312"/>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02CECB"/>
    <w:multiLevelType w:val="singleLevel"/>
    <w:tmpl w:val="5E02CECB"/>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196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w:basedOn w:val="1"/>
    <w:unhideWhenUsed/>
    <w:uiPriority w:val="99"/>
    <w:pPr>
      <w:widowControl w:val="0"/>
      <w:spacing w:line="240" w:lineRule="auto"/>
      <w:ind w:firstLine="652"/>
      <w:textAlignment w:val="auto"/>
    </w:pPr>
    <w:rPr>
      <w:rFonts w:eastAsia="仿宋_GB2312"/>
      <w:color w:val="auto"/>
      <w:kern w:val="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2020-06-24T03:16:51Z</dcterms:created>
  <dc:creator>wzy</dc:creator>
  <cp:lastModifiedBy>wzy</cp:lastModifiedBy>
  <dcterms:modified xsi:type="dcterms:W3CDTF">2020-06-24T03:18:29Z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