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highlight w:val="none"/>
          <w:lang w:val="en-US" w:eastAsia="zh-CN"/>
        </w:rPr>
        <w:t>附件3-3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中共长春市二道区英俊镇胡家村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总支部委员会关于六届区委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第四轮巡察整改进展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情况的通报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根据区委统一部署，区委第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巡察组对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中共长春市二道区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英俊镇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胡家村总支部委员会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进行了巡察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反馈了巡察意见。现将整改进展情况报告如下。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一、胡家村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党总支履行整改主体责任情况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胡家村精准施策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压实责任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聚焦难点问题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优化整改方案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全力打通政策落实的“最后一公里”，确保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</w:rPr>
        <w:t>整改问题不反弹回潮。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（一）关于聚焦基层贯彻落实党的路线方针政策和党中央、省、市委决策部署情况方面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1.严格落实重大决策部署。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系统性学习全区经济会议内容，将每年“中央一号”文件、农村工作会议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纳入到村“两委”理论学习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，指导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开展各项村务工作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2.持续巩固乡村振兴工作成果。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一是做好“林（田）长制”工作。明确工作细则，做到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每周开展一次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巡林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巡田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工作并做好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  <w:lang w:val="en-US" w:eastAsia="zh-CN"/>
        </w:rPr>
        <w:t>加大防返贫监测力度</w:t>
      </w:r>
      <w:r>
        <w:rPr>
          <w:rFonts w:hint="eastAsia" w:eastAsia="仿宋_GB2312" w:cs="Times New Roman"/>
          <w:spacing w:val="8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对全村户籍人口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常住人口开展排查工作，定期更新防返贫风险台账，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切实提升监测力度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三是严格监管安全饮水工作。要求第三方公司对履行项目、次数等情况与村委会及时对接，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做到规范化管理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四是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农家书屋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建设工作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。完善借阅制度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宣传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，定期开展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活动，提高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阅读积极性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和农家书屋使用效率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关于聚焦群众身边腐败问题和不正之风方面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严格规范“三资”管理。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规范村屯上级奖补资金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及专项资金的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使用，学习政策文件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、规范使用流程、明晰资金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方向，加大在环境治理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、服务群众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方面的投入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力度；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细致盘点资产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开展清产核资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后做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好相关记录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和台账，确保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定期更新。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关于聚焦村党支部软弱涣散、组织力欠缺方面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1.坚持党组织政治领导。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加强村“两委”后备干部选育培养工作，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highlight w:val="none"/>
          <w:lang w:val="en-US" w:eastAsia="zh-CN"/>
        </w:rPr>
        <w:t>规范筛选环节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，注重从退役军人、大学毕业生、创业青年中吸纳并培养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优秀年轻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干部，储备好本村后备人才。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2.组织生活质效进一步提升。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严格落实“三会一课”制度，高质量开展主题党日活动，拓宽理论学习培训渠道，切实提高理论学习水平。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3.警示教育质量进一步提高。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组织开展以案促改工作和警示教育会议，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及时做好案例通报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，筑牢防腐堤坝。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4.四议两公开工作更加规范。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将新农村建设长期规划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年度工作计划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集体经济项目立项承包纳入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“四议两公开一监督”决策内容中，要求村“两委”干部贯彻落实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“四议”议事规则，严格执行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“两公开”结果，按要求完成各项工作。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反映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。联系电话：13179012258（工作日9：00-17：00）；邮政信箱：长春市二道区英俊镇胡家村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村民委员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会；邮编：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E8DD0"/>
    <w:multiLevelType w:val="singleLevel"/>
    <w:tmpl w:val="343E8D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Y2ZGZhMGFlNWM1OGNmYjZlMWZjNmNjNWYyN2UifQ=="/>
  </w:docVars>
  <w:rsids>
    <w:rsidRoot w:val="00000000"/>
    <w:rsid w:val="00150EAD"/>
    <w:rsid w:val="00B701B7"/>
    <w:rsid w:val="013E2686"/>
    <w:rsid w:val="02750329"/>
    <w:rsid w:val="027F2F56"/>
    <w:rsid w:val="05C173E2"/>
    <w:rsid w:val="05F05901"/>
    <w:rsid w:val="05FE23E4"/>
    <w:rsid w:val="06127C3D"/>
    <w:rsid w:val="07E13A75"/>
    <w:rsid w:val="086E7088"/>
    <w:rsid w:val="0A1458A2"/>
    <w:rsid w:val="0BF70001"/>
    <w:rsid w:val="0C77184C"/>
    <w:rsid w:val="0CCA48D1"/>
    <w:rsid w:val="0D8E229F"/>
    <w:rsid w:val="0E1A1D85"/>
    <w:rsid w:val="0EE068BE"/>
    <w:rsid w:val="0FA20284"/>
    <w:rsid w:val="0FF65D9E"/>
    <w:rsid w:val="10C5247C"/>
    <w:rsid w:val="10CD30DE"/>
    <w:rsid w:val="128D0D77"/>
    <w:rsid w:val="136046DE"/>
    <w:rsid w:val="13710699"/>
    <w:rsid w:val="13EB1D7F"/>
    <w:rsid w:val="159549E1"/>
    <w:rsid w:val="15DD2016"/>
    <w:rsid w:val="15E433A4"/>
    <w:rsid w:val="16895F09"/>
    <w:rsid w:val="16D9587F"/>
    <w:rsid w:val="173C0FBE"/>
    <w:rsid w:val="17A5380A"/>
    <w:rsid w:val="18075128"/>
    <w:rsid w:val="181D494B"/>
    <w:rsid w:val="18803208"/>
    <w:rsid w:val="18C82B09"/>
    <w:rsid w:val="190C3911"/>
    <w:rsid w:val="1AB30BF9"/>
    <w:rsid w:val="1B4B7A22"/>
    <w:rsid w:val="1B99078D"/>
    <w:rsid w:val="1BF260EF"/>
    <w:rsid w:val="1C4C3A51"/>
    <w:rsid w:val="1C962F1E"/>
    <w:rsid w:val="1DA17DCD"/>
    <w:rsid w:val="1E1B7B7F"/>
    <w:rsid w:val="1E6E37E2"/>
    <w:rsid w:val="1F372797"/>
    <w:rsid w:val="1FF93EF0"/>
    <w:rsid w:val="20EA16D6"/>
    <w:rsid w:val="20FB77F4"/>
    <w:rsid w:val="217038B5"/>
    <w:rsid w:val="21832A1E"/>
    <w:rsid w:val="21C36564"/>
    <w:rsid w:val="222668F9"/>
    <w:rsid w:val="230D23E1"/>
    <w:rsid w:val="23CD5478"/>
    <w:rsid w:val="245A2A83"/>
    <w:rsid w:val="24885842"/>
    <w:rsid w:val="249C309C"/>
    <w:rsid w:val="256040C9"/>
    <w:rsid w:val="2573204F"/>
    <w:rsid w:val="280653FC"/>
    <w:rsid w:val="283A32F8"/>
    <w:rsid w:val="28AB7D51"/>
    <w:rsid w:val="28C80903"/>
    <w:rsid w:val="28DB23E5"/>
    <w:rsid w:val="2A7B0004"/>
    <w:rsid w:val="2AE5579D"/>
    <w:rsid w:val="2C6E79A7"/>
    <w:rsid w:val="2CD4412F"/>
    <w:rsid w:val="2ECE7AB8"/>
    <w:rsid w:val="30B874AF"/>
    <w:rsid w:val="33F24A86"/>
    <w:rsid w:val="34384B8F"/>
    <w:rsid w:val="35011425"/>
    <w:rsid w:val="357D65D2"/>
    <w:rsid w:val="35B2271F"/>
    <w:rsid w:val="35B2559C"/>
    <w:rsid w:val="35ED2F28"/>
    <w:rsid w:val="369C72DC"/>
    <w:rsid w:val="377063EE"/>
    <w:rsid w:val="37893954"/>
    <w:rsid w:val="37FB7708"/>
    <w:rsid w:val="3857135C"/>
    <w:rsid w:val="386817BB"/>
    <w:rsid w:val="38DD3F57"/>
    <w:rsid w:val="39567866"/>
    <w:rsid w:val="395A0825"/>
    <w:rsid w:val="3A3C4CAD"/>
    <w:rsid w:val="3ADB44C6"/>
    <w:rsid w:val="3BDF63EF"/>
    <w:rsid w:val="3BEB24E7"/>
    <w:rsid w:val="3C177780"/>
    <w:rsid w:val="3C44609B"/>
    <w:rsid w:val="3D8726E3"/>
    <w:rsid w:val="3DA037A5"/>
    <w:rsid w:val="3E3B322D"/>
    <w:rsid w:val="3E570308"/>
    <w:rsid w:val="3E7569E0"/>
    <w:rsid w:val="3EFED71A"/>
    <w:rsid w:val="3F402B4A"/>
    <w:rsid w:val="3F850EA5"/>
    <w:rsid w:val="3F9B2476"/>
    <w:rsid w:val="40927A57"/>
    <w:rsid w:val="410302D3"/>
    <w:rsid w:val="42430F44"/>
    <w:rsid w:val="42AF12BC"/>
    <w:rsid w:val="4377500F"/>
    <w:rsid w:val="448E07FB"/>
    <w:rsid w:val="44E818A0"/>
    <w:rsid w:val="451F76A5"/>
    <w:rsid w:val="46AC3274"/>
    <w:rsid w:val="4743112D"/>
    <w:rsid w:val="47F46BC7"/>
    <w:rsid w:val="483B65A4"/>
    <w:rsid w:val="48C70C85"/>
    <w:rsid w:val="48D32C81"/>
    <w:rsid w:val="493371B4"/>
    <w:rsid w:val="493A0BDB"/>
    <w:rsid w:val="4A5D6CA6"/>
    <w:rsid w:val="4ACD5E13"/>
    <w:rsid w:val="4C4023DB"/>
    <w:rsid w:val="4C6B0B16"/>
    <w:rsid w:val="4D3F08E5"/>
    <w:rsid w:val="4D6D5069"/>
    <w:rsid w:val="4E7562FD"/>
    <w:rsid w:val="4EA1206A"/>
    <w:rsid w:val="4EEC1D4D"/>
    <w:rsid w:val="4EEE25C2"/>
    <w:rsid w:val="4F334479"/>
    <w:rsid w:val="4F7A0AD0"/>
    <w:rsid w:val="4F7AA17F"/>
    <w:rsid w:val="4FE03A56"/>
    <w:rsid w:val="50E22C1F"/>
    <w:rsid w:val="510559A1"/>
    <w:rsid w:val="514F70CF"/>
    <w:rsid w:val="51B27DA7"/>
    <w:rsid w:val="51E7154B"/>
    <w:rsid w:val="526A6404"/>
    <w:rsid w:val="529A65BD"/>
    <w:rsid w:val="52EC506B"/>
    <w:rsid w:val="53191BD8"/>
    <w:rsid w:val="53542C10"/>
    <w:rsid w:val="53A2397B"/>
    <w:rsid w:val="54031D9B"/>
    <w:rsid w:val="55D342C0"/>
    <w:rsid w:val="575D0756"/>
    <w:rsid w:val="5789732C"/>
    <w:rsid w:val="58AB32D2"/>
    <w:rsid w:val="5A1530F9"/>
    <w:rsid w:val="5C871960"/>
    <w:rsid w:val="5D557CB0"/>
    <w:rsid w:val="5ED45726"/>
    <w:rsid w:val="5F571EE0"/>
    <w:rsid w:val="5F6F3FC2"/>
    <w:rsid w:val="5FB55904"/>
    <w:rsid w:val="60503F00"/>
    <w:rsid w:val="618B1EF3"/>
    <w:rsid w:val="61D76EE6"/>
    <w:rsid w:val="624520A2"/>
    <w:rsid w:val="630C2BBF"/>
    <w:rsid w:val="63251ED3"/>
    <w:rsid w:val="63BA261B"/>
    <w:rsid w:val="6589499B"/>
    <w:rsid w:val="659155FE"/>
    <w:rsid w:val="66E03594"/>
    <w:rsid w:val="682D5AB2"/>
    <w:rsid w:val="69F85294"/>
    <w:rsid w:val="6A0819AB"/>
    <w:rsid w:val="6A435B17"/>
    <w:rsid w:val="6A8614A9"/>
    <w:rsid w:val="6AD37499"/>
    <w:rsid w:val="6C262F44"/>
    <w:rsid w:val="6CB71887"/>
    <w:rsid w:val="6CDE381E"/>
    <w:rsid w:val="6CED5810"/>
    <w:rsid w:val="6CFD295E"/>
    <w:rsid w:val="6E0252EB"/>
    <w:rsid w:val="6E1C664D"/>
    <w:rsid w:val="6E751F61"/>
    <w:rsid w:val="6F6F075E"/>
    <w:rsid w:val="6FF9184E"/>
    <w:rsid w:val="70FA22F9"/>
    <w:rsid w:val="71C421F0"/>
    <w:rsid w:val="72A2709C"/>
    <w:rsid w:val="73DE4104"/>
    <w:rsid w:val="73F568C5"/>
    <w:rsid w:val="752C0E9F"/>
    <w:rsid w:val="756E03B6"/>
    <w:rsid w:val="76C46328"/>
    <w:rsid w:val="76C64DEF"/>
    <w:rsid w:val="76FD1290"/>
    <w:rsid w:val="79A03E0B"/>
    <w:rsid w:val="79AF4931"/>
    <w:rsid w:val="79B1539E"/>
    <w:rsid w:val="79BB3371"/>
    <w:rsid w:val="7A3E58FC"/>
    <w:rsid w:val="7AB31BC3"/>
    <w:rsid w:val="7AFE81BA"/>
    <w:rsid w:val="7BC74DC6"/>
    <w:rsid w:val="7BCC6F38"/>
    <w:rsid w:val="7BDC53CD"/>
    <w:rsid w:val="7CBA4FE2"/>
    <w:rsid w:val="7D5E1E12"/>
    <w:rsid w:val="7EEE3C19"/>
    <w:rsid w:val="7EF944E8"/>
    <w:rsid w:val="7F204B4A"/>
    <w:rsid w:val="7FC0010E"/>
    <w:rsid w:val="7FF776D9"/>
    <w:rsid w:val="7FFEF419"/>
    <w:rsid w:val="BFEE05FC"/>
    <w:rsid w:val="DD7F7B21"/>
    <w:rsid w:val="DEF5E51B"/>
    <w:rsid w:val="E7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8208</Words>
  <Characters>8445</Characters>
  <Paragraphs>431</Paragraphs>
  <TotalTime>0</TotalTime>
  <ScaleCrop>false</ScaleCrop>
  <LinksUpToDate>false</LinksUpToDate>
  <CharactersWithSpaces>8446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2025-03-05T02:11:00Z</dcterms:created>
  <dc:creator>CYY.</dc:creator>
  <cp:lastModifiedBy>user</cp:lastModifiedBy>
  <cp:lastPrinted>2025-09-27T03:21:00Z</cp:lastPrinted>
  <dcterms:modified xsi:type="dcterms:W3CDTF">2025-10-24T16:19:52Z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8A91FD4A9E5A46739FA859A55E7902A8_13</vt:lpwstr>
  </property>
  <property fmtid="{D5CDD505-2E9C-101B-9397-08002B2CF9AE}" pid="4" name="KSOTemplateDocerSaveRecord">
    <vt:lpwstr>eyJoZGlkIjoiNzY3OWY5NDNlOTQxNDJkYTk3ODk0YmM0YTgxZjViNmEiLCJ1c2VySWQiOiI0NDM5MjQ3MDIifQ==</vt:lpwstr>
  </property>
</Properties>
</file>