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楷体_GBK"/>
          <w:sz w:val="32"/>
          <w:szCs w:val="32"/>
          <w:highlight w:val="none"/>
          <w:lang w:val="en-US" w:eastAsia="zh-CN"/>
        </w:rPr>
      </w:pPr>
      <w:r>
        <w:rPr>
          <w:rFonts w:ascii="Times New Roman" w:hAnsi="Times New Roman" w:eastAsia="方正楷体_GBK"/>
          <w:sz w:val="32"/>
          <w:szCs w:val="32"/>
          <w:highlight w:val="none"/>
        </w:rPr>
        <w:t>附件</w:t>
      </w:r>
      <w:r>
        <w:rPr>
          <w:rFonts w:hint="eastAsia" w:ascii="Times New Roman" w:hAnsi="Times New Roman" w:eastAsia="方正楷体_GBK"/>
          <w:sz w:val="32"/>
          <w:szCs w:val="32"/>
          <w:highlight w:val="none"/>
          <w:lang w:val="en-US" w:eastAsia="zh-CN"/>
        </w:rPr>
        <w:t>4-5</w:t>
      </w:r>
    </w:p>
    <w:p>
      <w:pPr>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中共长春市二道区长青街道青河社区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总支部委员会关于六届区委第四轮巡察整改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进展情况的通报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根据区委统一部署，2024年4月19日至7月26日，区委第</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巡察组对</w:t>
      </w:r>
      <w:r>
        <w:rPr>
          <w:rFonts w:hint="eastAsia" w:ascii="Times New Roman" w:hAnsi="Times New Roman" w:eastAsia="仿宋_GB2312" w:cs="Times New Roman"/>
          <w:color w:val="auto"/>
          <w:sz w:val="32"/>
          <w:szCs w:val="32"/>
          <w:highlight w:val="none"/>
          <w:lang w:val="en-US" w:eastAsia="zh-CN"/>
        </w:rPr>
        <w:t>长青街道青河社区党总支</w:t>
      </w:r>
      <w:r>
        <w:rPr>
          <w:rFonts w:hint="default" w:ascii="Times New Roman" w:hAnsi="Times New Roman" w:eastAsia="仿宋_GB2312" w:cs="Times New Roman"/>
          <w:color w:val="auto"/>
          <w:sz w:val="32"/>
          <w:szCs w:val="32"/>
          <w:highlight w:val="none"/>
          <w:lang w:val="en-US" w:eastAsia="zh-CN"/>
        </w:rPr>
        <w:t>开展了常规巡察。2024年9月11日，区委巡察组向</w:t>
      </w:r>
      <w:r>
        <w:rPr>
          <w:rFonts w:hint="eastAsia" w:ascii="Times New Roman" w:hAnsi="Times New Roman" w:eastAsia="仿宋_GB2312" w:cs="Times New Roman"/>
          <w:color w:val="auto"/>
          <w:sz w:val="32"/>
          <w:szCs w:val="32"/>
          <w:highlight w:val="none"/>
          <w:lang w:val="en-US" w:eastAsia="zh-CN"/>
        </w:rPr>
        <w:t>长青街道青河社区党总支</w:t>
      </w:r>
      <w:r>
        <w:rPr>
          <w:rFonts w:hint="default" w:ascii="Times New Roman" w:hAnsi="Times New Roman" w:eastAsia="仿宋_GB2312" w:cs="Times New Roman"/>
          <w:color w:val="auto"/>
          <w:sz w:val="32"/>
          <w:szCs w:val="32"/>
          <w:highlight w:val="none"/>
          <w:lang w:val="en-US" w:eastAsia="zh-CN"/>
        </w:rPr>
        <w:t>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一、党总支履行整改主体责任情况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val="0"/>
          <w:bCs w:val="0"/>
          <w:color w:val="auto"/>
          <w:spacing w:val="8"/>
          <w:sz w:val="32"/>
          <w:szCs w:val="32"/>
          <w:highlight w:val="none"/>
          <w:lang w:val="en-US" w:eastAsia="zh-CN"/>
        </w:rPr>
        <w:t>（一）迅速部署，切实履行整改主体责任。</w:t>
      </w:r>
      <w:r>
        <w:rPr>
          <w:rFonts w:hint="eastAsia" w:ascii="Times New Roman" w:hAnsi="Times New Roman" w:eastAsia="仿宋_GB2312" w:cs="Times New Roman"/>
          <w:color w:val="auto"/>
          <w:sz w:val="32"/>
          <w:szCs w:val="32"/>
          <w:highlight w:val="none"/>
          <w:lang w:val="en-US" w:eastAsia="zh-CN"/>
        </w:rPr>
        <w:t>青河社区党总支召开会议，把巡察整改工作作为当前和今后一个时期的重大政治任务和重点工作，切实履行巡察整改主体责任，深刻剖析问题根源，保证整改有序推进。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2" w:firstLineChars="200"/>
        <w:jc w:val="both"/>
        <w:textAlignment w:val="auto"/>
        <w:rPr>
          <w:rFonts w:hint="eastAsia" w:ascii="仿宋_GB2312" w:hAnsi="仿宋_GB2312" w:eastAsia="仿宋_GB2312" w:cs="仿宋_GB2312"/>
          <w:b w:val="0"/>
          <w:bCs w:val="0"/>
          <w:color w:val="auto"/>
          <w:spacing w:val="8"/>
          <w:sz w:val="32"/>
          <w:szCs w:val="32"/>
          <w:highlight w:val="none"/>
        </w:rPr>
      </w:pPr>
      <w:r>
        <w:rPr>
          <w:rFonts w:hint="eastAsia" w:ascii="楷体_GB2312" w:hAnsi="楷体_GB2312" w:eastAsia="楷体_GB2312" w:cs="楷体_GB2312"/>
          <w:b w:val="0"/>
          <w:bCs w:val="0"/>
          <w:color w:val="auto"/>
          <w:spacing w:val="8"/>
          <w:sz w:val="32"/>
          <w:szCs w:val="32"/>
          <w:highlight w:val="none"/>
          <w:lang w:val="en-US" w:eastAsia="zh-CN"/>
        </w:rPr>
        <w:t>（二）</w:t>
      </w:r>
      <w:r>
        <w:rPr>
          <w:rFonts w:hint="eastAsia" w:ascii="楷体_GB2312" w:hAnsi="楷体_GB2312" w:eastAsia="楷体_GB2312" w:cs="楷体_GB2312"/>
          <w:b w:val="0"/>
          <w:bCs w:val="0"/>
          <w:color w:val="auto"/>
          <w:spacing w:val="8"/>
          <w:sz w:val="32"/>
          <w:szCs w:val="32"/>
          <w:highlight w:val="none"/>
        </w:rPr>
        <w:t>严明纪律，</w:t>
      </w:r>
      <w:r>
        <w:rPr>
          <w:rFonts w:hint="eastAsia" w:ascii="楷体_GB2312" w:hAnsi="楷体_GB2312" w:eastAsia="楷体_GB2312" w:cs="楷体_GB2312"/>
          <w:b w:val="0"/>
          <w:bCs w:val="0"/>
          <w:color w:val="auto"/>
          <w:spacing w:val="8"/>
          <w:sz w:val="32"/>
          <w:szCs w:val="32"/>
          <w:highlight w:val="none"/>
          <w:lang w:val="en-US" w:eastAsia="zh-CN"/>
        </w:rPr>
        <w:t>有力</w:t>
      </w:r>
      <w:r>
        <w:rPr>
          <w:rFonts w:hint="eastAsia" w:ascii="楷体_GB2312" w:hAnsi="楷体_GB2312" w:eastAsia="楷体_GB2312" w:cs="楷体_GB2312"/>
          <w:b w:val="0"/>
          <w:bCs w:val="0"/>
          <w:color w:val="auto"/>
          <w:spacing w:val="8"/>
          <w:sz w:val="32"/>
          <w:szCs w:val="32"/>
          <w:highlight w:val="none"/>
        </w:rPr>
        <w:t>推进整改工作</w:t>
      </w:r>
      <w:r>
        <w:rPr>
          <w:rFonts w:hint="eastAsia" w:ascii="楷体_GB2312" w:hAnsi="楷体_GB2312" w:eastAsia="楷体_GB2312" w:cs="楷体_GB2312"/>
          <w:b w:val="0"/>
          <w:bCs w:val="0"/>
          <w:color w:val="auto"/>
          <w:spacing w:val="8"/>
          <w:sz w:val="32"/>
          <w:szCs w:val="32"/>
          <w:highlight w:val="none"/>
          <w:lang w:val="en-US" w:eastAsia="zh-CN"/>
        </w:rPr>
        <w:t>落实</w:t>
      </w:r>
      <w:r>
        <w:rPr>
          <w:rFonts w:hint="eastAsia" w:ascii="楷体_GB2312" w:hAnsi="楷体_GB2312" w:eastAsia="楷体_GB2312" w:cs="楷体_GB2312"/>
          <w:b w:val="0"/>
          <w:bCs w:val="0"/>
          <w:color w:val="auto"/>
          <w:spacing w:val="8"/>
          <w:sz w:val="32"/>
          <w:szCs w:val="32"/>
          <w:highlight w:val="none"/>
        </w:rPr>
        <w:t>。</w:t>
      </w:r>
      <w:r>
        <w:rPr>
          <w:rFonts w:hint="eastAsia" w:ascii="仿宋_GB2312" w:hAnsi="仿宋_GB2312" w:eastAsia="仿宋_GB2312" w:cs="仿宋_GB2312"/>
          <w:b w:val="0"/>
          <w:bCs w:val="0"/>
          <w:color w:val="auto"/>
          <w:spacing w:val="8"/>
          <w:sz w:val="32"/>
          <w:szCs w:val="32"/>
          <w:highlight w:val="none"/>
          <w:lang w:val="en-US" w:eastAsia="zh-CN"/>
        </w:rPr>
        <w:t>对于区委第二巡察组反馈的意见和要求，全面梳理、分类汇总，将问题分解为具体的整改任务，明确责任人和整改期限，切实把巡察监督整改的过程作为查找差距、解决问题的过程</w:t>
      </w:r>
      <w:r>
        <w:rPr>
          <w:rFonts w:hint="eastAsia" w:ascii="仿宋_GB2312" w:hAnsi="仿宋_GB2312" w:eastAsia="仿宋_GB2312" w:cs="仿宋_GB2312"/>
          <w:b w:val="0"/>
          <w:bCs w:val="0"/>
          <w:color w:val="auto"/>
          <w:spacing w:val="8"/>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2"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val="0"/>
          <w:bCs w:val="0"/>
          <w:color w:val="auto"/>
          <w:spacing w:val="8"/>
          <w:sz w:val="32"/>
          <w:szCs w:val="32"/>
          <w:highlight w:val="none"/>
          <w:lang w:val="en-US" w:eastAsia="zh-CN"/>
        </w:rPr>
        <w:t>（三）注重总结，确保整改成果长效巩固</w:t>
      </w:r>
      <w:r>
        <w:rPr>
          <w:rFonts w:hint="eastAsia" w:ascii="楷体_GB2312" w:hAnsi="楷体_GB2312" w:eastAsia="楷体_GB2312" w:cs="楷体_GB2312"/>
          <w:b w:val="0"/>
          <w:bCs w:val="0"/>
          <w:color w:val="auto"/>
          <w:spacing w:val="8"/>
          <w:sz w:val="32"/>
          <w:szCs w:val="32"/>
          <w:highlight w:val="none"/>
        </w:rPr>
        <w:t>。</w:t>
      </w:r>
      <w:r>
        <w:rPr>
          <w:rFonts w:hint="eastAsia" w:ascii="仿宋_GB2312" w:hAnsi="仿宋_GB2312" w:eastAsia="仿宋_GB2312" w:cs="仿宋_GB2312"/>
          <w:b w:val="0"/>
          <w:bCs w:val="0"/>
          <w:color w:val="auto"/>
          <w:spacing w:val="8"/>
          <w:sz w:val="32"/>
          <w:szCs w:val="32"/>
          <w:highlight w:val="none"/>
          <w:lang w:val="en-US" w:eastAsia="zh-CN"/>
        </w:rPr>
        <w:t>在“边巡察、边整改”的基础上做到举一反三，发现问题即知即改、立行立改，将各项整改要求落到实处，使巡察整改成为社区干部改进工作作风、优化服务效能的重要推手。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二、巡察反馈重点问题整改落实情况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（一）聚焦党中央各项决策部署在基层的落实情况方面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2" w:firstLineChars="200"/>
        <w:jc w:val="left"/>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1.深入学习贯彻落实习近平新时代中国特色社会主义思想和党的二十大精神</w:t>
      </w:r>
      <w:r>
        <w:rPr>
          <w:rFonts w:hint="default" w:ascii="Times New Roman" w:hAnsi="Times New Roman" w:eastAsia="仿宋_GB2312" w:cs="Times New Roman"/>
          <w:b/>
          <w:bCs/>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贯彻落实习近平总书记关于养老服务重要指示精神</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入户走访辖区商户推进敬老餐厅建设，与辖区商户小油饼老菜坊达成敬老餐厅合作。区民政部门已与该餐饮商家签订合作协议，并完成敬老餐厅标识、开设户行、套餐制定等相关工作，并长期在居民微信群、社区LED屏进行宣传敬老餐厅政策、建设情况和用餐办卡指南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2" w:firstLineChars="200"/>
        <w:jc w:val="left"/>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2.严格履行职能责任，贯彻落实中央和省委、市委、区委重大决策部署。</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一是抓实“河长制”工作。严格落实巡河制度，重点排查隐患。巡河员每日、河长每周巡查辖区河段，均用水印相机拍照留痕，并每日整理巡河记录、更新台账，每周一（工作日）向街道河长办上报上周记录</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二是严格</w:t>
      </w:r>
      <w:r>
        <w:rPr>
          <w:rFonts w:hint="eastAsia" w:ascii="仿宋_GB2312" w:hAnsi="仿宋_GB2312" w:eastAsia="仿宋_GB2312" w:cs="仿宋_GB2312"/>
          <w:b w:val="0"/>
          <w:bCs w:val="0"/>
          <w:color w:val="auto"/>
          <w:sz w:val="32"/>
          <w:szCs w:val="32"/>
          <w:highlight w:val="none"/>
          <w:lang w:val="en-US" w:eastAsia="zh-CN"/>
        </w:rPr>
        <w:t>抓安全生产。加强生鲜超市煤气罐使用管理，强化监管，筑牢安全防线。安全专干第一时间进行实地安全排查清除并告知其危险性。重点组织商户安全教育知识讲座和培训5次、疏散演练3次，向商户发放安全生产相关宣传资料100余张，向居民微信群、商户群宣传安全生产教育片及安全警示提示百余次；规范充电行为，杜绝飞线充电隐患，联合物业常态化飞线排查，严管飞线，同时利用居民微信群不定时宣传安全充电知识全覆盖，督导物业设立充电桩设施，现金色橄榄城二期院内安置2个点位10个充电桩，引导其安全充电。</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是全面环境治理。加快建筑垃圾清运进度，及时联系物业将建筑垃圾清运完毕，联合物业开展常态化排查，督促物业单位对建筑垃圾及时清理；清理长期占用公共停车位的车辆，优化车位使用，多方联动，实地现场排查，上报至长青街道城管科，由城管科上报至交管所对其研判并清除；日常网格员常态化排查僵尸车，如有发现上报城管科及时清除。</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firstLineChars="200"/>
        <w:jc w:val="left"/>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3.坚持和加强党的全面领导。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全力破解群众身边急难愁盼问题。针对居民小区二次供水改造积极与物业及供水公司沟通，督促勘查工程进度，水管已全部更换完毕，园区主路、路边石、方砖步道及停车位方砖均在2024年11月铺设完毕。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（二）聚焦群众身边腐败问题和不正之风以及群众反映强烈的问题方面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val="en-US" w:eastAsia="zh-CN"/>
        </w:rPr>
        <w:t>.落实全面从严治党环节</w:t>
      </w:r>
      <w:r>
        <w:rPr>
          <w:rFonts w:hint="default" w:ascii="Times New Roman" w:hAnsi="Times New Roman" w:eastAsia="仿宋_GB2312" w:cs="Times New Roman"/>
          <w:b/>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加强廉政教育。抓实廉政教育，固思想防线，开展廉政学习会议1次，重大节日前进行集体廉政谈话8次</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2.规范资金、资产管理使用。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及时入账固定资产。加强管理，已将防火门、柜子</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录入固定资产软件中，并实施1次固定资产清查。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聚焦基层党组织建设方面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1.强化班子建设。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一是提升党组织凝聚力战斗力。引导两家非公企业落实学习计划，规范组织生活，</w:t>
      </w:r>
      <w:r>
        <w:rPr>
          <w:rFonts w:hint="eastAsia" w:ascii="仿宋_GB2312" w:hAnsi="仿宋_GB2312" w:eastAsia="仿宋_GB2312" w:cs="仿宋_GB2312"/>
          <w:color w:val="auto"/>
          <w:spacing w:val="8"/>
          <w:sz w:val="32"/>
          <w:szCs w:val="32"/>
          <w:highlight w:val="none"/>
          <w:lang w:val="en-US" w:eastAsia="zh-CN"/>
        </w:rPr>
        <w:t>指导</w:t>
      </w:r>
      <w:r>
        <w:rPr>
          <w:rFonts w:hint="eastAsia" w:ascii="仿宋_GB2312" w:hAnsi="仿宋_GB2312" w:eastAsia="仿宋_GB2312" w:cs="仿宋_GB2312"/>
          <w:color w:val="auto"/>
          <w:spacing w:val="8"/>
          <w:sz w:val="32"/>
          <w:szCs w:val="32"/>
          <w:highlight w:val="none"/>
          <w:lang w:val="en"/>
        </w:rPr>
        <w:t>非公企业开展集体学习与党内生活实践</w:t>
      </w:r>
      <w:r>
        <w:rPr>
          <w:rFonts w:hint="eastAsia" w:ascii="仿宋_GB2312" w:hAnsi="仿宋_GB2312" w:eastAsia="仿宋_GB2312" w:cs="仿宋_GB2312"/>
          <w:b w:val="0"/>
          <w:bCs w:val="0"/>
          <w:color w:val="auto"/>
          <w:sz w:val="32"/>
          <w:szCs w:val="32"/>
          <w:highlight w:val="none"/>
          <w:lang w:val="en-US" w:eastAsia="zh-CN"/>
        </w:rPr>
        <w:t>，走访指导两家非公企业党建工作1次，要求严格落实“三会一课”制度，开展对接学习交流会2次；强化主题党日开展，规范主题党日活动，创新主题党日活动6次，邀请区委党校老师授课3次。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严格落实民主集中制。社区“三委”成员集体开展学习“三重一大”相关学习会议1次，</w:t>
      </w:r>
      <w:r>
        <w:rPr>
          <w:rFonts w:hint="eastAsia" w:ascii="仿宋_GB2312" w:hAnsi="仿宋_GB2312" w:eastAsia="仿宋_GB2312" w:cs="仿宋_GB2312"/>
          <w:b w:val="0"/>
          <w:bCs w:val="0"/>
          <w:color w:val="auto"/>
          <w:sz w:val="32"/>
          <w:szCs w:val="32"/>
          <w:highlight w:val="none"/>
          <w:lang w:val="en" w:eastAsia="zh-CN"/>
        </w:rPr>
        <w:t>凡涉及“三重一大”事宜均通过三委会议讨论</w:t>
      </w:r>
      <w:r>
        <w:rPr>
          <w:rFonts w:hint="eastAsia" w:ascii="仿宋_GB2312" w:hAnsi="仿宋_GB2312" w:eastAsia="仿宋_GB2312" w:cs="仿宋_GB2312"/>
          <w:b w:val="0"/>
          <w:bCs w:val="0"/>
          <w:color w:val="auto"/>
          <w:sz w:val="32"/>
          <w:szCs w:val="32"/>
          <w:highlight w:val="none"/>
          <w:lang w:val="en-US" w:eastAsia="zh-CN"/>
        </w:rPr>
        <w:t>，保证了参会人数，充分发表意见，对特殊缺席者电话征求意见，促监委履职。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2.优化基层党建工作。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健全党员活动室设置。在二楼党员活动室内部已制作党员权利义务、入党誓词及党旗展板并悬挂</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欢迎广大干部群众对巡察整改落实情况进行监督。如有意见建议，请及时向我们反映。联系电话：</w:t>
      </w:r>
      <w:r>
        <w:rPr>
          <w:rFonts w:hint="eastAsia" w:ascii="Times New Roman" w:hAnsi="Times New Roman" w:eastAsia="仿宋_GB2312" w:cs="Times New Roman"/>
          <w:color w:val="auto"/>
          <w:sz w:val="32"/>
          <w:szCs w:val="32"/>
          <w:highlight w:val="none"/>
          <w:lang w:val="en-US" w:eastAsia="zh-CN"/>
        </w:rPr>
        <w:t>0431-84843811</w:t>
      </w:r>
      <w:r>
        <w:rPr>
          <w:rFonts w:hint="default" w:ascii="Times New Roman" w:hAnsi="Times New Roman" w:eastAsia="仿宋_GB2312" w:cs="Times New Roman"/>
          <w:color w:val="auto"/>
          <w:sz w:val="32"/>
          <w:szCs w:val="32"/>
          <w:highlight w:val="none"/>
          <w:lang w:val="en-US" w:eastAsia="zh-CN"/>
        </w:rPr>
        <w:t>（工作日8：30-1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lang w:val="en-US" w:eastAsia="zh-CN"/>
        </w:rPr>
        <w:t>）；邮政信箱：</w:t>
      </w:r>
      <w:r>
        <w:rPr>
          <w:rFonts w:hint="eastAsia" w:ascii="Times New Roman" w:hAnsi="Times New Roman" w:eastAsia="仿宋_GB2312" w:cs="Times New Roman"/>
          <w:color w:val="auto"/>
          <w:sz w:val="32"/>
          <w:szCs w:val="32"/>
          <w:highlight w:val="none"/>
          <w:lang w:val="en-US" w:eastAsia="zh-CN"/>
        </w:rPr>
        <w:t>长春市二道区长青街道洋浦大街与橄榄路交汇金色橄榄城三期37栋长青街道青河社区</w:t>
      </w:r>
      <w:r>
        <w:rPr>
          <w:rFonts w:hint="default" w:ascii="Times New Roman" w:hAnsi="Times New Roman" w:eastAsia="仿宋_GB2312" w:cs="Times New Roman"/>
          <w:color w:val="auto"/>
          <w:sz w:val="32"/>
          <w:szCs w:val="32"/>
          <w:highlight w:val="none"/>
          <w:lang w:val="en-US" w:eastAsia="zh-CN"/>
        </w:rPr>
        <w:t>；邮编：</w:t>
      </w:r>
      <w:r>
        <w:rPr>
          <w:rFonts w:hint="eastAsia" w:ascii="Times New Roman" w:hAnsi="Times New Roman" w:eastAsia="仿宋_GB2312" w:cs="Times New Roman"/>
          <w:color w:val="auto"/>
          <w:sz w:val="32"/>
          <w:szCs w:val="32"/>
          <w:highlight w:val="none"/>
          <w:lang w:val="en-US" w:eastAsia="zh-CN"/>
        </w:rPr>
        <w:t>130000</w:t>
      </w:r>
      <w:r>
        <w:rPr>
          <w:rFonts w:hint="default" w:ascii="Times New Roman" w:hAnsi="Times New Roman" w:eastAsia="仿宋_GB2312" w:cs="Times New Roman"/>
          <w:color w:val="auto"/>
          <w:sz w:val="32"/>
          <w:szCs w:val="32"/>
          <w:highlight w:val="none"/>
          <w:lang w:val="en-US" w:eastAsia="zh-CN"/>
        </w:rPr>
        <w:t>；电子邮箱：571142675@</w:t>
      </w:r>
      <w:r>
        <w:rPr>
          <w:rFonts w:hint="eastAsia" w:ascii="Times New Roman" w:hAnsi="Times New Roman" w:eastAsia="仿宋_GB2312" w:cs="Times New Roman"/>
          <w:color w:val="auto"/>
          <w:sz w:val="32"/>
          <w:szCs w:val="32"/>
          <w:highlight w:val="none"/>
          <w:lang w:val="en-US" w:eastAsia="zh-CN"/>
        </w:rPr>
        <w:t>qq</w:t>
      </w:r>
      <w:r>
        <w:rPr>
          <w:rFonts w:hint="default" w:ascii="Times New Roman" w:hAnsi="Times New Roman" w:eastAsia="仿宋_GB2312" w:cs="Times New Roman"/>
          <w:color w:val="auto"/>
          <w:sz w:val="32"/>
          <w:szCs w:val="32"/>
          <w:highlight w:val="none"/>
          <w:lang w:val="en-US" w:eastAsia="zh-CN"/>
        </w:rPr>
        <w:t>.com。</w:t>
      </w:r>
    </w:p>
    <w:sectPr>
      <w:footerReference r:id="rId3" w:type="default"/>
      <w:pgSz w:w="11906" w:h="16838"/>
      <w:pgMar w:top="2211" w:right="1701" w:bottom="187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auto"/>
    <w:pitch w:val="default"/>
    <w:sig w:usb0="00000000" w:usb1="00000000" w:usb2="00000029" w:usb3="00000000" w:csb0="200101FF" w:csb1="2028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39D1C"/>
    <w:multiLevelType w:val="singleLevel"/>
    <w:tmpl w:val="B5F39D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YjY2ZGZhMGFlNWM1OGNmYjZlMWZjNmNjNWYyN2UifQ=="/>
  </w:docVars>
  <w:rsids>
    <w:rsidRoot w:val="00000000"/>
    <w:rsid w:val="00150EAD"/>
    <w:rsid w:val="00B701B7"/>
    <w:rsid w:val="013E2686"/>
    <w:rsid w:val="02750329"/>
    <w:rsid w:val="027F2F56"/>
    <w:rsid w:val="05C173E2"/>
    <w:rsid w:val="05F05901"/>
    <w:rsid w:val="05FE23E4"/>
    <w:rsid w:val="06127C3D"/>
    <w:rsid w:val="07E13A75"/>
    <w:rsid w:val="086E7088"/>
    <w:rsid w:val="0A1458A2"/>
    <w:rsid w:val="0BF70001"/>
    <w:rsid w:val="0C77184C"/>
    <w:rsid w:val="0CCA48D1"/>
    <w:rsid w:val="0D8E229F"/>
    <w:rsid w:val="0E1A1D85"/>
    <w:rsid w:val="0EE068BE"/>
    <w:rsid w:val="0FA20284"/>
    <w:rsid w:val="0FF65D9E"/>
    <w:rsid w:val="10C5247C"/>
    <w:rsid w:val="10CD30DE"/>
    <w:rsid w:val="128D0D77"/>
    <w:rsid w:val="136046DE"/>
    <w:rsid w:val="13710699"/>
    <w:rsid w:val="13EB1D7F"/>
    <w:rsid w:val="159549E1"/>
    <w:rsid w:val="15DD2016"/>
    <w:rsid w:val="15E433A4"/>
    <w:rsid w:val="16895F09"/>
    <w:rsid w:val="16D9587F"/>
    <w:rsid w:val="173C0FBE"/>
    <w:rsid w:val="17A5380A"/>
    <w:rsid w:val="18075128"/>
    <w:rsid w:val="181D494B"/>
    <w:rsid w:val="18803208"/>
    <w:rsid w:val="18C82B09"/>
    <w:rsid w:val="190C3911"/>
    <w:rsid w:val="1AB30BF9"/>
    <w:rsid w:val="1B4B7A22"/>
    <w:rsid w:val="1B99078D"/>
    <w:rsid w:val="1BF260EF"/>
    <w:rsid w:val="1C4C3A51"/>
    <w:rsid w:val="1C962F1E"/>
    <w:rsid w:val="1DA17DCD"/>
    <w:rsid w:val="1E1B7B7F"/>
    <w:rsid w:val="1E6E37E2"/>
    <w:rsid w:val="1F372797"/>
    <w:rsid w:val="1FF93EF0"/>
    <w:rsid w:val="20EA16D6"/>
    <w:rsid w:val="20FB77F4"/>
    <w:rsid w:val="217038B5"/>
    <w:rsid w:val="21832A1E"/>
    <w:rsid w:val="21C36564"/>
    <w:rsid w:val="222668F9"/>
    <w:rsid w:val="230D23E1"/>
    <w:rsid w:val="23CD5478"/>
    <w:rsid w:val="245A2A83"/>
    <w:rsid w:val="24885842"/>
    <w:rsid w:val="249C309C"/>
    <w:rsid w:val="256040C9"/>
    <w:rsid w:val="2573204F"/>
    <w:rsid w:val="280653FC"/>
    <w:rsid w:val="283A32F8"/>
    <w:rsid w:val="28AB7D51"/>
    <w:rsid w:val="28C80903"/>
    <w:rsid w:val="28DB23E5"/>
    <w:rsid w:val="2A7B0004"/>
    <w:rsid w:val="2AE5579D"/>
    <w:rsid w:val="2C6E79A7"/>
    <w:rsid w:val="2CD4412F"/>
    <w:rsid w:val="2ECE7AB8"/>
    <w:rsid w:val="30B874AF"/>
    <w:rsid w:val="33F24A86"/>
    <w:rsid w:val="34384B8F"/>
    <w:rsid w:val="35011425"/>
    <w:rsid w:val="357D65D2"/>
    <w:rsid w:val="35B2271F"/>
    <w:rsid w:val="35B2559C"/>
    <w:rsid w:val="35ED2F28"/>
    <w:rsid w:val="369C72DC"/>
    <w:rsid w:val="377063EE"/>
    <w:rsid w:val="37893954"/>
    <w:rsid w:val="37FB7708"/>
    <w:rsid w:val="3857135C"/>
    <w:rsid w:val="386817BB"/>
    <w:rsid w:val="38DD3F57"/>
    <w:rsid w:val="39567866"/>
    <w:rsid w:val="395A0825"/>
    <w:rsid w:val="3A3C4CAD"/>
    <w:rsid w:val="3ADB44C6"/>
    <w:rsid w:val="3BDF63EF"/>
    <w:rsid w:val="3BEB24E7"/>
    <w:rsid w:val="3C177780"/>
    <w:rsid w:val="3C44609B"/>
    <w:rsid w:val="3D8726E3"/>
    <w:rsid w:val="3DA037A5"/>
    <w:rsid w:val="3E3B322D"/>
    <w:rsid w:val="3E570308"/>
    <w:rsid w:val="3E7569E0"/>
    <w:rsid w:val="3EFED71A"/>
    <w:rsid w:val="3F402B4A"/>
    <w:rsid w:val="3F850EA5"/>
    <w:rsid w:val="3F9B2476"/>
    <w:rsid w:val="40927A57"/>
    <w:rsid w:val="410302D3"/>
    <w:rsid w:val="42430F44"/>
    <w:rsid w:val="42AF12BC"/>
    <w:rsid w:val="4377500F"/>
    <w:rsid w:val="448E07FB"/>
    <w:rsid w:val="44E818A0"/>
    <w:rsid w:val="451F76A5"/>
    <w:rsid w:val="46AC3274"/>
    <w:rsid w:val="4743112D"/>
    <w:rsid w:val="47F46BC7"/>
    <w:rsid w:val="483B65A4"/>
    <w:rsid w:val="48C70C85"/>
    <w:rsid w:val="48D32C81"/>
    <w:rsid w:val="493371B4"/>
    <w:rsid w:val="493A0BDB"/>
    <w:rsid w:val="4A5D6CA6"/>
    <w:rsid w:val="4ACD5E13"/>
    <w:rsid w:val="4C4023DB"/>
    <w:rsid w:val="4C6B0B16"/>
    <w:rsid w:val="4D3F08E5"/>
    <w:rsid w:val="4D6D5069"/>
    <w:rsid w:val="4E7562FD"/>
    <w:rsid w:val="4EA1206A"/>
    <w:rsid w:val="4EEC1D4D"/>
    <w:rsid w:val="4EEE25C2"/>
    <w:rsid w:val="4F334479"/>
    <w:rsid w:val="4F7A0AD0"/>
    <w:rsid w:val="4F7AA17F"/>
    <w:rsid w:val="4FE03A56"/>
    <w:rsid w:val="50E22C1F"/>
    <w:rsid w:val="510559A1"/>
    <w:rsid w:val="514F70CF"/>
    <w:rsid w:val="51B27DA7"/>
    <w:rsid w:val="51E7154B"/>
    <w:rsid w:val="526A6404"/>
    <w:rsid w:val="529A65BD"/>
    <w:rsid w:val="52EC506B"/>
    <w:rsid w:val="53191BD8"/>
    <w:rsid w:val="53542C10"/>
    <w:rsid w:val="53A2397B"/>
    <w:rsid w:val="54031D9B"/>
    <w:rsid w:val="55D342C0"/>
    <w:rsid w:val="575D0756"/>
    <w:rsid w:val="5789732C"/>
    <w:rsid w:val="58AB32D2"/>
    <w:rsid w:val="5A1530F9"/>
    <w:rsid w:val="5C871960"/>
    <w:rsid w:val="5D557CB0"/>
    <w:rsid w:val="5ED45726"/>
    <w:rsid w:val="5F571EE0"/>
    <w:rsid w:val="5F6F3FC2"/>
    <w:rsid w:val="5FB55904"/>
    <w:rsid w:val="60503F00"/>
    <w:rsid w:val="618B1EF3"/>
    <w:rsid w:val="61D76EE6"/>
    <w:rsid w:val="624520A2"/>
    <w:rsid w:val="630C2BBF"/>
    <w:rsid w:val="63251ED3"/>
    <w:rsid w:val="63BA261B"/>
    <w:rsid w:val="6589499B"/>
    <w:rsid w:val="659155FE"/>
    <w:rsid w:val="66E03594"/>
    <w:rsid w:val="682D5AB2"/>
    <w:rsid w:val="69F85294"/>
    <w:rsid w:val="6A0819AB"/>
    <w:rsid w:val="6A435B17"/>
    <w:rsid w:val="6A8614A9"/>
    <w:rsid w:val="6AD37499"/>
    <w:rsid w:val="6C262F44"/>
    <w:rsid w:val="6CB71887"/>
    <w:rsid w:val="6CDE381E"/>
    <w:rsid w:val="6CED5810"/>
    <w:rsid w:val="6CFD295E"/>
    <w:rsid w:val="6E0252EB"/>
    <w:rsid w:val="6E1C664D"/>
    <w:rsid w:val="6E751F61"/>
    <w:rsid w:val="6F6F075E"/>
    <w:rsid w:val="6FF9184E"/>
    <w:rsid w:val="70FA22F9"/>
    <w:rsid w:val="71C421F0"/>
    <w:rsid w:val="72A2709C"/>
    <w:rsid w:val="73DE4104"/>
    <w:rsid w:val="73F568C5"/>
    <w:rsid w:val="752C0E9F"/>
    <w:rsid w:val="756E03B6"/>
    <w:rsid w:val="76C46328"/>
    <w:rsid w:val="76C64DEF"/>
    <w:rsid w:val="76FD1290"/>
    <w:rsid w:val="79A03E0B"/>
    <w:rsid w:val="79AF4931"/>
    <w:rsid w:val="79B1539E"/>
    <w:rsid w:val="79BB3371"/>
    <w:rsid w:val="7A3E58FC"/>
    <w:rsid w:val="7AB31BC3"/>
    <w:rsid w:val="7AFE81BA"/>
    <w:rsid w:val="7BCC6F38"/>
    <w:rsid w:val="7BDC53CD"/>
    <w:rsid w:val="7CBA4FE2"/>
    <w:rsid w:val="7D5E1E12"/>
    <w:rsid w:val="7EEE3C19"/>
    <w:rsid w:val="7EF944E8"/>
    <w:rsid w:val="7EFA8132"/>
    <w:rsid w:val="7F204B4A"/>
    <w:rsid w:val="7FC0010E"/>
    <w:rsid w:val="7FF776D9"/>
    <w:rsid w:val="7FFEF419"/>
    <w:rsid w:val="BFEE05FC"/>
    <w:rsid w:val="DD7F7B21"/>
    <w:rsid w:val="DEF5E51B"/>
    <w:rsid w:val="E7E73654"/>
    <w:rsid w:val="FF77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
    <w:name w:val="Title"/>
    <w:basedOn w:val="1"/>
    <w:next w:val="1"/>
    <w:qFormat/>
    <w:uiPriority w:val="10"/>
    <w:pPr>
      <w:spacing w:before="240" w:after="60"/>
      <w:jc w:val="center"/>
      <w:outlineLvl w:val="0"/>
    </w:pPr>
    <w:rPr>
      <w:rFonts w:ascii="Cambria" w:hAnsi="Cambria"/>
      <w:bCs/>
      <w:sz w:val="32"/>
      <w:szCs w:val="32"/>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PlainText"/>
    <w:basedOn w:val="1"/>
    <w:qFormat/>
    <w:uiPriority w:val="0"/>
    <w:pPr>
      <w:jc w:val="both"/>
      <w:textAlignment w:val="baseline"/>
    </w:pPr>
    <w:rPr>
      <w:rFonts w:ascii="宋体" w:hAnsi="Courier New"/>
      <w:kern w:val="2"/>
      <w:sz w:val="21"/>
      <w:szCs w:val="24"/>
      <w:lang w:val="en-US" w:eastAsia="zh-CN" w:bidi="ar-SA"/>
    </w:rPr>
  </w:style>
  <w:style w:type="paragraph" w:styleId="11">
    <w:name w:val="No Spacing"/>
    <w:qFormat/>
    <w:uiPriority w:val="0"/>
    <w:pPr>
      <w:adjustRightInd w:val="0"/>
      <w:snapToGrid w:val="0"/>
    </w:pPr>
    <w:rPr>
      <w:rFonts w:ascii="Tahoma" w:hAnsi="Tahoma"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8208</Words>
  <Characters>8445</Characters>
  <Paragraphs>431</Paragraphs>
  <TotalTime>1</TotalTime>
  <ScaleCrop>false</ScaleCrop>
  <LinksUpToDate>false</LinksUpToDate>
  <CharactersWithSpaces>8446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2025-03-05T10:11:00Z</dcterms:created>
  <dc:creator>CYY.</dc:creator>
  <cp:lastModifiedBy>user</cp:lastModifiedBy>
  <cp:lastPrinted>2025-09-27T11:21:00Z</cp:lastPrinted>
  <dcterms:modified xsi:type="dcterms:W3CDTF">2025-10-24T17:10:48Z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8A91FD4A9E5A46739FA859A55E7902A8_13</vt:lpwstr>
  </property>
  <property fmtid="{D5CDD505-2E9C-101B-9397-08002B2CF9AE}" pid="4" name="KSOTemplateDocerSaveRecord">
    <vt:lpwstr>eyJoZGlkIjoiNzY3OWY5NDNlOTQxNDJkYTk3ODk0YmM0YTgxZjViNmEiLCJ1c2VySWQiOiI0NDM5MjQ3MDIifQ==</vt:lpwstr>
  </property>
</Properties>
</file>