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firstLineChars="400"/>
        <w:jc w:val="both"/>
        <w:rPr>
          <w:sz w:val="36"/>
          <w:szCs w:val="36"/>
        </w:rPr>
      </w:pPr>
      <w:r>
        <w:rPr>
          <w:rFonts w:hint="eastAsia"/>
          <w:sz w:val="36"/>
          <w:szCs w:val="36"/>
        </w:rPr>
        <w:t>长春市市场监督管理局</w:t>
      </w:r>
      <w:r>
        <w:rPr>
          <w:rFonts w:hint="eastAsia"/>
          <w:sz w:val="36"/>
          <w:szCs w:val="36"/>
          <w:lang w:val="en-US" w:eastAsia="zh-CN"/>
        </w:rPr>
        <w:t>二道</w:t>
      </w:r>
      <w:r>
        <w:rPr>
          <w:rFonts w:hint="eastAsia"/>
          <w:sz w:val="36"/>
          <w:szCs w:val="36"/>
        </w:rPr>
        <w:t>分局</w:t>
      </w:r>
    </w:p>
    <w:p>
      <w:pPr>
        <w:pStyle w:val="2"/>
        <w:bidi w:val="0"/>
      </w:pPr>
      <w:bookmarkStart w:id="0" w:name="_GoBack"/>
      <w:r>
        <w:rPr>
          <w:rFonts w:hint="eastAsia"/>
        </w:rPr>
        <w:t>关于吉林亚泰超市有限公司销售不合格食品核查处置情况的报告</w:t>
      </w:r>
    </w:p>
    <w:bookmarkEnd w:id="0"/>
    <w:p>
      <w:pPr>
        <w:jc w:val="center"/>
        <w:rPr>
          <w:color w:val="231F20"/>
          <w:sz w:val="36"/>
          <w:szCs w:val="36"/>
        </w:rPr>
      </w:pPr>
    </w:p>
    <w:p>
      <w:pPr>
        <w:numPr>
          <w:ilvl w:val="0"/>
          <w:numId w:val="1"/>
        </w:numPr>
        <w:rPr>
          <w:rFonts w:ascii="宋体" w:hAnsi="宋体" w:cs="宋体"/>
          <w:b/>
          <w:bCs/>
          <w:color w:val="231F20"/>
          <w:sz w:val="32"/>
          <w:szCs w:val="32"/>
        </w:rPr>
      </w:pPr>
      <w:r>
        <w:rPr>
          <w:rFonts w:hint="eastAsia" w:ascii="宋体" w:hAnsi="宋体" w:cs="宋体"/>
          <w:b/>
          <w:bCs/>
          <w:color w:val="231F20"/>
          <w:sz w:val="32"/>
          <w:szCs w:val="32"/>
        </w:rPr>
        <w:t>不合格食品基本情况</w:t>
      </w:r>
    </w:p>
    <w:p>
      <w:pPr>
        <w:ind w:firstLine="560" w:firstLineChars="200"/>
        <w:rPr>
          <w:rFonts w:hint="eastAsia" w:ascii="宋体" w:hAnsi="宋体" w:cs="宋体"/>
          <w:b/>
          <w:bCs/>
          <w:color w:val="231F20"/>
          <w:sz w:val="32"/>
          <w:szCs w:val="32"/>
        </w:rPr>
      </w:pPr>
      <w:r>
        <w:rPr>
          <w:rFonts w:hint="eastAsia" w:ascii="宋体" w:hAnsi="宋体" w:eastAsia="宋体" w:cs="宋体"/>
          <w:sz w:val="28"/>
          <w:szCs w:val="28"/>
          <w:u w:val="single"/>
        </w:rPr>
        <w:t>2020年8月5日，长春市市场监督管理局二道分局收到吉林省食品检验所出具的吉林亚泰超市有限公司经营的醋的检验报告（№:SJC20201750），检验结论为“经抽样检验，总酸（以乙酸计）不符合GB/T 18187-2000《酿造食醋》要求；检测结论为不合格”。</w:t>
      </w:r>
    </w:p>
    <w:p>
      <w:pPr>
        <w:rPr>
          <w:rFonts w:ascii="宋体" w:hAnsi="宋体" w:cs="宋体"/>
          <w:b/>
          <w:bCs/>
          <w:color w:val="231F20"/>
          <w:sz w:val="32"/>
          <w:szCs w:val="32"/>
        </w:rPr>
      </w:pPr>
      <w:r>
        <w:rPr>
          <w:rFonts w:hint="eastAsia" w:ascii="宋体" w:hAnsi="宋体" w:cs="宋体"/>
          <w:b/>
          <w:bCs/>
          <w:color w:val="231F20"/>
          <w:sz w:val="32"/>
          <w:szCs w:val="32"/>
        </w:rPr>
        <w:t>二．核查处置情况</w:t>
      </w:r>
    </w:p>
    <w:p>
      <w:pPr>
        <w:rPr>
          <w:rFonts w:ascii="宋体" w:hAnsi="宋体" w:cs="宋体"/>
          <w:b/>
          <w:bCs/>
          <w:color w:val="231F20"/>
          <w:sz w:val="32"/>
          <w:szCs w:val="32"/>
        </w:rPr>
      </w:pPr>
      <w:r>
        <w:rPr>
          <w:rFonts w:hint="eastAsia" w:ascii="宋体" w:hAnsi="宋体" w:cs="宋体"/>
          <w:b/>
          <w:bCs/>
          <w:color w:val="231F20"/>
          <w:sz w:val="32"/>
          <w:szCs w:val="32"/>
        </w:rPr>
        <w:t>产品控制情况：</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u w:val="single"/>
        </w:rPr>
        <w:t>当事人于2020年6月15日从长春市兴华酿造有限公司购进被抽检家悦食醋150袋，进货价0.56元/袋，售价1元/袋，已全部销售。</w:t>
      </w:r>
    </w:p>
    <w:p>
      <w:pPr>
        <w:rPr>
          <w:rFonts w:ascii="宋体" w:hAnsi="宋体" w:cs="宋体"/>
          <w:color w:val="231F20"/>
          <w:sz w:val="24"/>
          <w:u w:val="single"/>
        </w:rPr>
      </w:pPr>
    </w:p>
    <w:p>
      <w:pPr>
        <w:rPr>
          <w:rFonts w:ascii="宋体" w:hAnsi="宋体" w:cs="宋体"/>
          <w:b/>
          <w:bCs/>
          <w:color w:val="231F20"/>
          <w:sz w:val="32"/>
          <w:szCs w:val="32"/>
        </w:rPr>
      </w:pPr>
      <w:r>
        <w:rPr>
          <w:rFonts w:hint="eastAsia" w:ascii="宋体" w:hAnsi="宋体" w:cs="宋体"/>
          <w:b/>
          <w:bCs/>
          <w:color w:val="231F20"/>
          <w:sz w:val="32"/>
          <w:szCs w:val="32"/>
        </w:rPr>
        <w:t>违法行为查处情况及依据：</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u w:val="single"/>
        </w:rPr>
        <w:t>该单位涉嫌违反了《中华人民共和国食品安全法》第三十四条第（十三）项：“禁止生产经营下列食品、食品添加剂、食品相关产品：（十三）其他不符合法律、法规或者食品安全标准的食品、食品添加剂、食品相关产品”规定。</w:t>
      </w:r>
    </w:p>
    <w:p>
      <w:pPr>
        <w:ind w:firstLine="560" w:firstLineChars="200"/>
        <w:rPr>
          <w:rFonts w:hint="eastAsia" w:ascii="宋体" w:hAnsi="宋体" w:eastAsia="宋体" w:cs="宋体"/>
          <w:sz w:val="28"/>
          <w:szCs w:val="28"/>
        </w:rPr>
      </w:pPr>
      <w:r>
        <w:rPr>
          <w:rFonts w:hint="eastAsia" w:ascii="宋体" w:hAnsi="宋体" w:eastAsia="宋体" w:cs="宋体"/>
          <w:sz w:val="28"/>
          <w:szCs w:val="28"/>
          <w:u w:val="single"/>
        </w:rPr>
        <w:t>当事人对检测报告结论无异议，当事人对采购的</w:t>
      </w:r>
      <w:r>
        <w:rPr>
          <w:rFonts w:hint="eastAsia" w:ascii="宋体" w:hAnsi="宋体" w:cs="宋体"/>
          <w:color w:val="231F20"/>
          <w:spacing w:val="-12"/>
          <w:sz w:val="28"/>
          <w:szCs w:val="28"/>
          <w:u w:val="single"/>
          <w:lang w:val="en-US" w:eastAsia="zh-CN"/>
        </w:rPr>
        <w:t>产品不符合食品安全标准</w:t>
      </w:r>
      <w:r>
        <w:rPr>
          <w:rFonts w:hint="eastAsia" w:ascii="宋体" w:hAnsi="宋体" w:eastAsia="宋体" w:cs="宋体"/>
          <w:color w:val="231F20"/>
          <w:spacing w:val="-12"/>
          <w:sz w:val="28"/>
          <w:szCs w:val="28"/>
          <w:u w:val="single"/>
        </w:rPr>
        <w:t>限量</w:t>
      </w:r>
      <w:r>
        <w:rPr>
          <w:rFonts w:hint="eastAsia" w:ascii="宋体" w:hAnsi="宋体" w:eastAsia="宋体" w:cs="宋体"/>
          <w:sz w:val="28"/>
          <w:szCs w:val="28"/>
          <w:u w:val="single"/>
        </w:rPr>
        <w:t>的情况并不知情，并且已经履行了索证索票义务并能说明采购食品的来源。</w:t>
      </w:r>
    </w:p>
    <w:p>
      <w:pPr>
        <w:pStyle w:val="3"/>
        <w:tabs>
          <w:tab w:val="left" w:pos="8920"/>
        </w:tabs>
        <w:spacing w:before="143"/>
        <w:ind w:left="0" w:firstLine="560" w:firstLineChars="200"/>
        <w:rPr>
          <w:rFonts w:hint="eastAsia" w:ascii="宋体" w:hAnsi="宋体" w:eastAsia="宋体" w:cs="宋体"/>
          <w:sz w:val="28"/>
          <w:szCs w:val="28"/>
        </w:rPr>
      </w:pPr>
      <w:r>
        <w:rPr>
          <w:rFonts w:hint="eastAsia" w:cs="宋体"/>
          <w:sz w:val="28"/>
          <w:szCs w:val="28"/>
          <w:u w:val="single"/>
          <w:lang w:val="en-US" w:eastAsia="zh-CN"/>
        </w:rPr>
        <w:t>当事人</w:t>
      </w:r>
      <w:r>
        <w:rPr>
          <w:rFonts w:hint="eastAsia" w:ascii="宋体" w:hAnsi="宋体" w:eastAsia="宋体" w:cs="宋体"/>
          <w:sz w:val="28"/>
          <w:szCs w:val="28"/>
          <w:u w:val="single"/>
        </w:rPr>
        <w:t>违反了《中华人民共和国食品安全法》第三十四条第（十三）项：“禁止生产经营下列食品、食品添加剂、食品相关产品：（十三）其他不符合法律、法规或者食品安全标准的食品、食品添加剂、食品相关产品”规定。依据《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的规定，食品经营者履行了本法规定的进货查验等义务，有充分证据证明其不知道所采购的食品超过食品安全标准限量，并能如实说明其进货来源的，可以免予处罚。应给予当事人免予行政处罚。</w:t>
      </w:r>
    </w:p>
    <w:p>
      <w:pPr>
        <w:rPr>
          <w:rFonts w:hint="eastAsia" w:ascii="宋体" w:hAnsi="宋体" w:eastAsia="宋体" w:cs="宋体"/>
          <w:sz w:val="28"/>
          <w:szCs w:val="28"/>
        </w:rPr>
      </w:pPr>
    </w:p>
    <w:p>
      <w:pPr>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2020年10月26日 </w:t>
      </w:r>
    </w:p>
    <w:p>
      <w:pPr>
        <w:ind w:firstLine="480" w:firstLineChars="200"/>
        <w:rPr>
          <w:rFonts w:ascii="宋体" w:hAnsi="宋体" w:cs="宋体"/>
          <w:sz w:val="24"/>
        </w:rPr>
      </w:pPr>
    </w:p>
    <w:p>
      <w:pPr>
        <w:ind w:firstLine="480" w:firstLineChars="200"/>
        <w:rPr>
          <w:rFonts w:ascii="宋体" w:hAnsi="宋体" w:cs="宋体"/>
          <w:sz w:val="24"/>
        </w:rPr>
      </w:pPr>
    </w:p>
    <w:p>
      <w:pPr>
        <w:pStyle w:val="3"/>
        <w:tabs>
          <w:tab w:val="left" w:pos="5003"/>
          <w:tab w:val="left" w:pos="5963"/>
        </w:tabs>
        <w:spacing w:before="173"/>
        <w:ind w:left="4043"/>
        <w:jc w:val="center"/>
        <w:rPr>
          <w:rFonts w:cs="宋体"/>
          <w:color w:val="231F20"/>
          <w:sz w:val="24"/>
          <w:szCs w:val="24"/>
        </w:rPr>
      </w:pPr>
      <w:r>
        <w:rPr>
          <w:rFonts w:hint="eastAsia" w:cs="宋体"/>
          <w:sz w:val="24"/>
          <w:szCs w:val="24"/>
        </w:rPr>
        <w:t xml:space="preserve">                              </w:t>
      </w:r>
    </w:p>
    <w:p>
      <w:pPr>
        <w:ind w:firstLine="480" w:firstLineChars="200"/>
        <w:rPr>
          <w:sz w:val="72"/>
          <w:szCs w:val="72"/>
        </w:rPr>
      </w:pPr>
      <w:r>
        <w:rPr>
          <w:rFonts w:hint="eastAsia" w:ascii="宋体" w:hAnsi="宋体" w:cs="宋体"/>
          <w:sz w:val="24"/>
        </w:rPr>
        <w:t xml:space="preserve">                </w:t>
      </w: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4"/>
                            <w:rPr>
                              <w:rStyle w:val="8"/>
                            </w:rPr>
                          </w:pPr>
                          <w:r>
                            <w:fldChar w:fldCharType="begin"/>
                          </w:r>
                          <w:r>
                            <w:rPr>
                              <w:rStyle w:val="8"/>
                            </w:rPr>
                            <w:instrText xml:space="preserve">PAGE  </w:instrText>
                          </w:r>
                          <w:r>
                            <w:fldChar w:fldCharType="separate"/>
                          </w:r>
                          <w:r>
                            <w:rPr>
                              <w:rStyle w:val="8"/>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Pi91E0AAAAAIBAAAPAAAAAAAAAAEAIAAAACIAAABkcnMv&#10;ZG93bnJldi54bWxQSwECFAAUAAAACACHTuJAmfr/QdIBAACkAwAADgAAAAAAAAABACAAAAAfAQAA&#10;ZHJzL2Uyb0RvYy54bWxQSwUGAAAAAAYABgBZAQAAYwUAAAAA&#10;">
              <v:fill on="f" focussize="0,0"/>
              <v:stroke on="f"/>
              <v:imagedata o:title=""/>
              <o:lock v:ext="edit" aspectratio="f"/>
              <v:textbox inset="0mm,0mm,0mm,0mm" style="mso-fit-shape-to-text:t;">
                <w:txbxContent>
                  <w:p>
                    <w:pPr>
                      <w:pStyle w:val="4"/>
                      <w:rPr>
                        <w:rStyle w:val="8"/>
                      </w:rPr>
                    </w:pPr>
                    <w:r>
                      <w:fldChar w:fldCharType="begin"/>
                    </w:r>
                    <w:r>
                      <w:rPr>
                        <w:rStyle w:val="8"/>
                      </w:rPr>
                      <w:instrText xml:space="preserve">PAGE  </w:instrText>
                    </w:r>
                    <w:r>
                      <w:fldChar w:fldCharType="separate"/>
                    </w:r>
                    <w:r>
                      <w:rPr>
                        <w:rStyle w:val="8"/>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CE"/>
    <w:rsid w:val="007E6FF5"/>
    <w:rsid w:val="00A80A05"/>
    <w:rsid w:val="00D413CE"/>
    <w:rsid w:val="00FD51C4"/>
    <w:rsid w:val="1083364A"/>
    <w:rsid w:val="1EA04A2C"/>
    <w:rsid w:val="24777F33"/>
    <w:rsid w:val="3A7724F7"/>
    <w:rsid w:val="3D36297F"/>
    <w:rsid w:val="3EC26073"/>
    <w:rsid w:val="4C4D4337"/>
    <w:rsid w:val="526E1AAB"/>
    <w:rsid w:val="5BBA6441"/>
    <w:rsid w:val="5E6F78C4"/>
    <w:rsid w:val="65D51B54"/>
    <w:rsid w:val="66BA2D95"/>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220"/>
    </w:pPr>
    <w:rPr>
      <w:rFonts w:ascii="宋体" w:hAnsi="宋体"/>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140</Words>
  <Characters>802</Characters>
  <Lines>6</Lines>
  <Paragraphs>1</Paragraphs>
  <TotalTime>1</TotalTime>
  <ScaleCrop>false</ScaleCrop>
  <LinksUpToDate>false</LinksUpToDate>
  <CharactersWithSpaces>941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脑洞养鲸鱼吃土小仙女</cp:lastModifiedBy>
  <cp:lastPrinted>2020-11-18T03:22:00Z</cp:lastPrinted>
  <dcterms:modified xsi:type="dcterms:W3CDTF">2021-01-18T06:59:32Z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