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ind w:firstLine="0" w:firstLineChars="0"/>
        <w:jc w:val="center"/>
        <w:textAlignment w:val="auto"/>
        <w:rPr>
          <w:rFonts w:hint="eastAsia"/>
          <w:sz w:val="36"/>
          <w:szCs w:val="36"/>
        </w:rPr>
      </w:pPr>
      <w:r>
        <w:rPr>
          <w:rFonts w:hint="eastAsia"/>
          <w:sz w:val="36"/>
          <w:szCs w:val="36"/>
        </w:rPr>
        <w:t>长春市市场监督管理局</w:t>
      </w:r>
      <w:r>
        <w:rPr>
          <w:rFonts w:hint="eastAsia"/>
          <w:sz w:val="36"/>
          <w:szCs w:val="36"/>
          <w:lang w:val="en-US" w:eastAsia="zh-CN"/>
        </w:rPr>
        <w:t>二道</w:t>
      </w:r>
      <w:r>
        <w:rPr>
          <w:rFonts w:hint="eastAsia"/>
          <w:sz w:val="36"/>
          <w:szCs w:val="36"/>
        </w:rPr>
        <w:t>分局</w:t>
      </w:r>
    </w:p>
    <w:p>
      <w:pPr>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val="0"/>
          <w:kern w:val="2"/>
          <w:sz w:val="36"/>
          <w:szCs w:val="36"/>
          <w:lang w:val="en-US" w:eastAsia="zh-CN" w:bidi="ar-SA"/>
        </w:rPr>
      </w:pPr>
      <w:r>
        <w:rPr>
          <w:rFonts w:hint="eastAsia" w:ascii="Times New Roman" w:hAnsi="Times New Roman" w:eastAsia="宋体" w:cs="Times New Roman"/>
          <w:b w:val="0"/>
          <w:kern w:val="2"/>
          <w:sz w:val="36"/>
          <w:szCs w:val="36"/>
          <w:lang w:val="en-US" w:eastAsia="zh-CN" w:bidi="ar-SA"/>
        </w:rPr>
        <w:t>关于二道区众合农贸市场岩岩豆制品摊床销售不合格食品核查处置情况的报告</w:t>
      </w:r>
    </w:p>
    <w:p>
      <w:pPr>
        <w:jc w:val="center"/>
        <w:rPr>
          <w:color w:val="231F20"/>
          <w:sz w:val="36"/>
          <w:szCs w:val="36"/>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231F20"/>
          <w:sz w:val="32"/>
          <w:szCs w:val="32"/>
          <w:u w:val="none" w:color="auto"/>
        </w:rPr>
      </w:pPr>
      <w:r>
        <w:rPr>
          <w:rFonts w:hint="eastAsia" w:ascii="仿宋" w:hAnsi="仿宋" w:eastAsia="仿宋" w:cs="仿宋"/>
          <w:b/>
          <w:bCs/>
          <w:color w:val="231F20"/>
          <w:sz w:val="32"/>
          <w:szCs w:val="32"/>
          <w:u w:val="none" w:color="auto"/>
        </w:rPr>
        <w:t>不合格食品基本情况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color w:val="auto"/>
          <w:sz w:val="32"/>
          <w:szCs w:val="32"/>
          <w:highlight w:val="none"/>
          <w:u w:val="none" w:color="auto"/>
          <w:lang w:val="en-US" w:eastAsia="zh-CN"/>
        </w:rPr>
      </w:pPr>
      <w:r>
        <w:rPr>
          <w:rFonts w:hint="eastAsia" w:ascii="仿宋" w:hAnsi="仿宋" w:eastAsia="仿宋" w:cs="仿宋"/>
          <w:bCs/>
          <w:color w:val="auto"/>
          <w:sz w:val="32"/>
          <w:szCs w:val="32"/>
          <w:highlight w:val="none"/>
          <w:u w:val="none" w:color="auto"/>
          <w:lang w:val="en-US" w:eastAsia="zh-CN"/>
        </w:rPr>
        <w:t>2020年9月27日，长春市市场监督管理局二道分局收到吉林省产品质量监督检验院出具的二道区众合农贸市场岩岩豆制品摊床的笨豆芽检验报告（№:SZNJ-20200870），检验结论为“经抽样检验，4-氯苯氧乙酸钠（以4-氯苯氧乙酸钠计）项目不符合国家食品药品监督管理总局农业部国家卫生和计划生育委员会关于豆芽生产过程中禁止使用6-苄基腺嘌呤等物质的公告（2015年第11号）要求，检测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231F20"/>
          <w:sz w:val="32"/>
          <w:szCs w:val="32"/>
          <w:u w:val="none" w:color="auto"/>
        </w:rPr>
      </w:pPr>
      <w:r>
        <w:rPr>
          <w:rFonts w:hint="eastAsia" w:ascii="仿宋" w:hAnsi="仿宋" w:eastAsia="仿宋" w:cs="仿宋"/>
          <w:b/>
          <w:bCs/>
          <w:color w:val="231F20"/>
          <w:sz w:val="32"/>
          <w:szCs w:val="32"/>
          <w:u w:val="none" w:color="auto"/>
        </w:rPr>
        <w:t>二．核查处置情况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231F20"/>
          <w:sz w:val="32"/>
          <w:szCs w:val="32"/>
          <w:u w:val="none" w:color="auto"/>
        </w:rPr>
      </w:pPr>
      <w:r>
        <w:rPr>
          <w:rFonts w:hint="eastAsia" w:ascii="仿宋" w:hAnsi="仿宋" w:eastAsia="仿宋" w:cs="仿宋"/>
          <w:b/>
          <w:bCs/>
          <w:color w:val="231F20"/>
          <w:sz w:val="32"/>
          <w:szCs w:val="32"/>
          <w:u w:val="none" w:color="auto"/>
        </w:rPr>
        <w:t>产品控制情况：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231F20"/>
          <w:sz w:val="32"/>
          <w:szCs w:val="32"/>
          <w:u w:val="none" w:color="auto"/>
        </w:rPr>
      </w:pPr>
      <w:r>
        <w:rPr>
          <w:rFonts w:hint="eastAsia" w:ascii="仿宋" w:hAnsi="仿宋" w:eastAsia="仿宋" w:cs="仿宋"/>
          <w:bCs/>
          <w:sz w:val="32"/>
          <w:szCs w:val="32"/>
          <w:u w:val="none" w:color="auto"/>
          <w:lang w:eastAsia="zh-CN"/>
        </w:rPr>
        <w:t>当事人</w:t>
      </w:r>
      <w:r>
        <w:rPr>
          <w:rFonts w:hint="eastAsia" w:ascii="仿宋" w:hAnsi="仿宋" w:eastAsia="仿宋" w:cs="仿宋"/>
          <w:color w:val="auto"/>
          <w:sz w:val="32"/>
          <w:szCs w:val="32"/>
          <w:highlight w:val="none"/>
          <w:u w:val="none" w:color="auto"/>
        </w:rPr>
        <w:t>于20</w:t>
      </w:r>
      <w:r>
        <w:rPr>
          <w:rFonts w:hint="eastAsia" w:ascii="仿宋" w:hAnsi="仿宋" w:eastAsia="仿宋" w:cs="仿宋"/>
          <w:color w:val="auto"/>
          <w:sz w:val="32"/>
          <w:szCs w:val="32"/>
          <w:highlight w:val="none"/>
          <w:u w:val="none" w:color="auto"/>
          <w:lang w:val="en-US" w:eastAsia="zh-CN"/>
        </w:rPr>
        <w:t>20</w:t>
      </w:r>
      <w:r>
        <w:rPr>
          <w:rFonts w:hint="eastAsia" w:ascii="仿宋" w:hAnsi="仿宋" w:eastAsia="仿宋" w:cs="仿宋"/>
          <w:color w:val="auto"/>
          <w:sz w:val="32"/>
          <w:szCs w:val="32"/>
          <w:highlight w:val="none"/>
          <w:u w:val="none" w:color="auto"/>
        </w:rPr>
        <w:t>年</w:t>
      </w:r>
      <w:r>
        <w:rPr>
          <w:rFonts w:hint="eastAsia" w:ascii="仿宋" w:hAnsi="仿宋" w:eastAsia="仿宋" w:cs="仿宋"/>
          <w:color w:val="auto"/>
          <w:sz w:val="32"/>
          <w:szCs w:val="32"/>
          <w:highlight w:val="none"/>
          <w:u w:val="none" w:color="auto"/>
          <w:lang w:val="en-US" w:eastAsia="zh-CN"/>
        </w:rPr>
        <w:t>8</w:t>
      </w:r>
      <w:r>
        <w:rPr>
          <w:rFonts w:hint="eastAsia" w:ascii="仿宋" w:hAnsi="仿宋" w:eastAsia="仿宋" w:cs="仿宋"/>
          <w:color w:val="auto"/>
          <w:sz w:val="32"/>
          <w:szCs w:val="32"/>
          <w:highlight w:val="none"/>
          <w:u w:val="none" w:color="auto"/>
        </w:rPr>
        <w:t>月</w:t>
      </w:r>
      <w:r>
        <w:rPr>
          <w:rFonts w:hint="eastAsia" w:ascii="仿宋" w:hAnsi="仿宋" w:eastAsia="仿宋" w:cs="仿宋"/>
          <w:color w:val="auto"/>
          <w:sz w:val="32"/>
          <w:szCs w:val="32"/>
          <w:highlight w:val="none"/>
          <w:u w:val="none" w:color="auto"/>
          <w:lang w:val="en-US" w:eastAsia="zh-CN"/>
        </w:rPr>
        <w:t>31</w:t>
      </w:r>
      <w:r>
        <w:rPr>
          <w:rFonts w:hint="eastAsia" w:ascii="仿宋" w:hAnsi="仿宋" w:eastAsia="仿宋" w:cs="仿宋"/>
          <w:color w:val="auto"/>
          <w:sz w:val="32"/>
          <w:szCs w:val="32"/>
          <w:highlight w:val="none"/>
          <w:u w:val="none" w:color="auto"/>
        </w:rPr>
        <w:t>日</w:t>
      </w:r>
      <w:r>
        <w:rPr>
          <w:rFonts w:hint="eastAsia" w:ascii="仿宋" w:hAnsi="仿宋" w:eastAsia="仿宋" w:cs="仿宋"/>
          <w:color w:val="auto"/>
          <w:sz w:val="32"/>
          <w:szCs w:val="32"/>
          <w:highlight w:val="none"/>
          <w:u w:val="none" w:color="auto"/>
          <w:lang w:eastAsia="zh-CN"/>
        </w:rPr>
        <w:t>从农安县合隆镇凤志豆芽加工坊购进</w:t>
      </w:r>
      <w:r>
        <w:rPr>
          <w:rFonts w:hint="eastAsia" w:ascii="仿宋" w:hAnsi="仿宋" w:eastAsia="仿宋" w:cs="仿宋"/>
          <w:color w:val="auto"/>
          <w:sz w:val="32"/>
          <w:szCs w:val="32"/>
          <w:highlight w:val="none"/>
          <w:u w:val="none" w:color="auto"/>
        </w:rPr>
        <w:t>被抽检</w:t>
      </w:r>
      <w:r>
        <w:rPr>
          <w:rFonts w:hint="eastAsia" w:ascii="仿宋" w:hAnsi="仿宋" w:eastAsia="仿宋" w:cs="仿宋"/>
          <w:color w:val="auto"/>
          <w:sz w:val="32"/>
          <w:szCs w:val="32"/>
          <w:highlight w:val="none"/>
          <w:u w:val="none" w:color="auto"/>
          <w:lang w:eastAsia="zh-CN"/>
        </w:rPr>
        <w:t>笨豆芽</w:t>
      </w:r>
      <w:r>
        <w:rPr>
          <w:rFonts w:hint="eastAsia" w:ascii="仿宋" w:hAnsi="仿宋" w:eastAsia="仿宋" w:cs="仿宋"/>
          <w:bCs/>
          <w:color w:val="auto"/>
          <w:sz w:val="32"/>
          <w:szCs w:val="32"/>
          <w:u w:val="none" w:color="auto"/>
          <w:lang w:val="en-US" w:eastAsia="zh-CN"/>
        </w:rPr>
        <w:t>10</w:t>
      </w:r>
      <w:r>
        <w:rPr>
          <w:rFonts w:hint="eastAsia" w:ascii="仿宋" w:hAnsi="仿宋" w:eastAsia="仿宋" w:cs="仿宋"/>
          <w:color w:val="auto"/>
          <w:sz w:val="32"/>
          <w:szCs w:val="32"/>
          <w:highlight w:val="none"/>
          <w:u w:val="none" w:color="auto"/>
        </w:rPr>
        <w:t>公斤，进货价</w:t>
      </w:r>
      <w:r>
        <w:rPr>
          <w:rFonts w:hint="eastAsia" w:ascii="仿宋" w:hAnsi="仿宋" w:eastAsia="仿宋" w:cs="仿宋"/>
          <w:color w:val="auto"/>
          <w:sz w:val="32"/>
          <w:szCs w:val="32"/>
          <w:highlight w:val="none"/>
          <w:u w:val="none" w:color="auto"/>
          <w:lang w:val="en-US" w:eastAsia="zh-CN"/>
        </w:rPr>
        <w:t>4</w:t>
      </w:r>
      <w:r>
        <w:rPr>
          <w:rFonts w:hint="eastAsia" w:ascii="仿宋" w:hAnsi="仿宋" w:eastAsia="仿宋" w:cs="仿宋"/>
          <w:color w:val="auto"/>
          <w:sz w:val="32"/>
          <w:szCs w:val="32"/>
          <w:highlight w:val="none"/>
          <w:u w:val="none" w:color="auto"/>
        </w:rPr>
        <w:t>元/公斤，售价</w:t>
      </w:r>
      <w:r>
        <w:rPr>
          <w:rFonts w:hint="eastAsia" w:ascii="仿宋" w:hAnsi="仿宋" w:eastAsia="仿宋" w:cs="仿宋"/>
          <w:color w:val="auto"/>
          <w:sz w:val="32"/>
          <w:szCs w:val="32"/>
          <w:highlight w:val="none"/>
          <w:u w:val="none" w:color="auto"/>
          <w:lang w:val="en-US" w:eastAsia="zh-CN"/>
        </w:rPr>
        <w:t>5</w:t>
      </w:r>
      <w:r>
        <w:rPr>
          <w:rFonts w:hint="eastAsia" w:ascii="仿宋" w:hAnsi="仿宋" w:eastAsia="仿宋" w:cs="仿宋"/>
          <w:color w:val="auto"/>
          <w:sz w:val="32"/>
          <w:szCs w:val="32"/>
          <w:highlight w:val="none"/>
          <w:u w:val="none" w:color="auto"/>
        </w:rPr>
        <w:t>元/公斤，已全部销售。</w:t>
      </w:r>
      <w:r>
        <w:rPr>
          <w:rFonts w:hint="eastAsia" w:ascii="仿宋" w:hAnsi="仿宋" w:eastAsia="仿宋" w:cs="仿宋"/>
          <w:color w:val="auto"/>
          <w:sz w:val="32"/>
          <w:szCs w:val="32"/>
          <w:highlight w:val="none"/>
          <w:u w:val="none" w:color="auto"/>
          <w:lang w:eastAsia="zh-CN"/>
        </w:rPr>
        <w:t>进货时，当事人查验了供货者的营业执照、产品检测报告，索要了销售凭证。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231F20"/>
          <w:sz w:val="32"/>
          <w:szCs w:val="32"/>
          <w:u w:val="none" w:color="auto"/>
        </w:rPr>
      </w:pPr>
      <w:r>
        <w:rPr>
          <w:rFonts w:hint="eastAsia" w:ascii="仿宋" w:hAnsi="仿宋" w:eastAsia="仿宋" w:cs="仿宋"/>
          <w:b/>
          <w:bCs/>
          <w:color w:val="231F20"/>
          <w:sz w:val="32"/>
          <w:szCs w:val="32"/>
          <w:u w:val="none" w:color="auto"/>
        </w:rPr>
        <w:t>违法行为查处情况及依据：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color="auto"/>
        </w:rPr>
      </w:pPr>
      <w:r>
        <w:rPr>
          <w:rFonts w:hint="eastAsia" w:ascii="仿宋" w:hAnsi="仿宋" w:eastAsia="仿宋" w:cs="仿宋"/>
          <w:sz w:val="32"/>
          <w:szCs w:val="32"/>
          <w:u w:val="none" w:color="auto"/>
        </w:rPr>
        <w:t>该单位涉嫌违反了</w:t>
      </w:r>
      <w:r>
        <w:rPr>
          <w:rFonts w:hint="eastAsia" w:ascii="仿宋" w:hAnsi="仿宋" w:eastAsia="仿宋" w:cs="仿宋"/>
          <w:color w:val="auto"/>
          <w:sz w:val="32"/>
          <w:szCs w:val="32"/>
          <w:u w:val="none" w:color="auto"/>
          <w:lang w:val="en-US" w:eastAsia="zh-CN"/>
        </w:rPr>
        <w:t>《食用农产品市场销售质量安全监督管理办法</w:t>
      </w:r>
      <w:r>
        <w:rPr>
          <w:rFonts w:hint="eastAsia" w:ascii="仿宋" w:hAnsi="仿宋" w:eastAsia="仿宋" w:cs="仿宋"/>
          <w:color w:val="auto"/>
          <w:sz w:val="32"/>
          <w:szCs w:val="32"/>
          <w:highlight w:val="none"/>
          <w:u w:val="none" w:color="auto"/>
          <w:lang w:val="en-US" w:eastAsia="zh-CN"/>
        </w:rPr>
        <w:t>》第二十五条第（一）项：</w:t>
      </w:r>
      <w:r>
        <w:rPr>
          <w:rFonts w:hint="eastAsia" w:ascii="仿宋" w:hAnsi="仿宋" w:eastAsia="仿宋" w:cs="仿宋"/>
          <w:color w:val="auto"/>
          <w:sz w:val="32"/>
          <w:szCs w:val="32"/>
          <w:u w:val="none" w:color="auto"/>
          <w:lang w:val="en-US" w:eastAsia="zh-CN"/>
        </w:rPr>
        <w:t>“禁止销售下列食用农产品:（一）使用国家禁止的兽药和剧毒、高毒农药，或者添加食品添加剂以外的化学物质和其他可能危害人体健康的物质的”规定。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color="auto"/>
        </w:rPr>
      </w:pPr>
      <w:r>
        <w:rPr>
          <w:rFonts w:hint="eastAsia" w:ascii="仿宋" w:hAnsi="仿宋" w:eastAsia="仿宋" w:cs="仿宋"/>
          <w:sz w:val="32"/>
          <w:szCs w:val="32"/>
          <w:u w:val="none" w:color="auto"/>
        </w:rPr>
        <w:t>当事人对检测报告结论无异议，当事人对采购的</w:t>
      </w:r>
      <w:r>
        <w:rPr>
          <w:rFonts w:hint="eastAsia" w:ascii="仿宋" w:hAnsi="仿宋" w:eastAsia="仿宋" w:cs="仿宋"/>
          <w:color w:val="231F20"/>
          <w:spacing w:val="-12"/>
          <w:sz w:val="32"/>
          <w:szCs w:val="32"/>
          <w:u w:val="none" w:color="auto"/>
          <w:lang w:val="en-US" w:eastAsia="zh-CN"/>
        </w:rPr>
        <w:t>产品不符合食品安全标准</w:t>
      </w:r>
      <w:r>
        <w:rPr>
          <w:rFonts w:hint="eastAsia" w:ascii="仿宋" w:hAnsi="仿宋" w:eastAsia="仿宋" w:cs="仿宋"/>
          <w:color w:val="231F20"/>
          <w:spacing w:val="-12"/>
          <w:sz w:val="32"/>
          <w:szCs w:val="32"/>
          <w:u w:val="none" w:color="auto"/>
        </w:rPr>
        <w:t>限量</w:t>
      </w:r>
      <w:r>
        <w:rPr>
          <w:rFonts w:hint="eastAsia" w:ascii="仿宋" w:hAnsi="仿宋" w:eastAsia="仿宋" w:cs="仿宋"/>
          <w:sz w:val="32"/>
          <w:szCs w:val="32"/>
          <w:u w:val="none" w:color="auto"/>
        </w:rPr>
        <w:t>的情况并不知情，并且已经履行了索证索票义务并能说明采购食品的来源。</w:t>
      </w:r>
    </w:p>
    <w:p>
      <w:pPr>
        <w:pStyle w:val="3"/>
        <w:keepNext w:val="0"/>
        <w:keepLines w:val="0"/>
        <w:pageBreakBefore w:val="0"/>
        <w:widowControl w:val="0"/>
        <w:tabs>
          <w:tab w:val="left" w:pos="8920"/>
        </w:tabs>
        <w:kinsoku/>
        <w:wordWrap/>
        <w:overflowPunct/>
        <w:topLinePunct w:val="0"/>
        <w:autoSpaceDE/>
        <w:autoSpaceDN/>
        <w:bidi w:val="0"/>
        <w:adjustRightInd/>
        <w:snapToGrid/>
        <w:spacing w:before="143"/>
        <w:ind w:left="0" w:firstLine="640" w:firstLineChars="200"/>
        <w:textAlignment w:val="auto"/>
        <w:rPr>
          <w:rFonts w:hint="eastAsia" w:ascii="宋体" w:hAnsi="宋体" w:eastAsia="仿宋" w:cs="宋体"/>
          <w:sz w:val="28"/>
          <w:szCs w:val="28"/>
          <w:lang w:eastAsia="zh-CN"/>
        </w:rPr>
      </w:pPr>
      <w:r>
        <w:rPr>
          <w:rFonts w:hint="eastAsia" w:ascii="仿宋" w:hAnsi="仿宋" w:eastAsia="仿宋" w:cs="仿宋"/>
          <w:sz w:val="32"/>
          <w:szCs w:val="32"/>
          <w:u w:val="none" w:color="auto"/>
          <w:lang w:val="en-US" w:eastAsia="zh-CN"/>
        </w:rPr>
        <w:t>当事人</w:t>
      </w:r>
      <w:r>
        <w:rPr>
          <w:rFonts w:hint="eastAsia" w:ascii="仿宋" w:hAnsi="仿宋" w:eastAsia="仿宋" w:cs="仿宋"/>
          <w:sz w:val="32"/>
          <w:szCs w:val="32"/>
          <w:u w:val="none" w:color="auto"/>
        </w:rPr>
        <w:t>违反了</w:t>
      </w:r>
      <w:r>
        <w:rPr>
          <w:rFonts w:hint="eastAsia" w:ascii="仿宋" w:hAnsi="仿宋" w:eastAsia="仿宋" w:cs="仿宋"/>
          <w:color w:val="auto"/>
          <w:sz w:val="32"/>
          <w:szCs w:val="32"/>
          <w:u w:val="none" w:color="auto"/>
          <w:lang w:val="en-US" w:eastAsia="zh-CN"/>
        </w:rPr>
        <w:t>《食用农产品市场销售质量安全监督管理办法</w:t>
      </w:r>
      <w:r>
        <w:rPr>
          <w:rFonts w:hint="eastAsia" w:ascii="仿宋" w:hAnsi="仿宋" w:eastAsia="仿宋" w:cs="仿宋"/>
          <w:color w:val="auto"/>
          <w:sz w:val="32"/>
          <w:szCs w:val="32"/>
          <w:highlight w:val="none"/>
          <w:u w:val="none" w:color="auto"/>
          <w:lang w:val="en-US" w:eastAsia="zh-CN"/>
        </w:rPr>
        <w:t>》第二十五条第（一）项：</w:t>
      </w:r>
      <w:r>
        <w:rPr>
          <w:rFonts w:hint="eastAsia" w:ascii="仿宋" w:hAnsi="仿宋" w:eastAsia="仿宋" w:cs="仿宋"/>
          <w:color w:val="auto"/>
          <w:sz w:val="32"/>
          <w:szCs w:val="32"/>
          <w:u w:val="none" w:color="auto"/>
          <w:lang w:val="en-US" w:eastAsia="zh-CN"/>
        </w:rPr>
        <w:t>“禁止销售下列食用农产品:（一）使用国家禁止的兽药和剧毒、高毒农药，或者添加食品添加剂以外的化学物质和其他可能危害人体健康的物质的”规定</w:t>
      </w:r>
      <w:r>
        <w:rPr>
          <w:rFonts w:hint="eastAsia" w:ascii="仿宋" w:hAnsi="仿宋" w:eastAsia="仿宋" w:cs="仿宋"/>
          <w:sz w:val="32"/>
          <w:szCs w:val="32"/>
          <w:u w:val="none" w:color="auto"/>
        </w:rPr>
        <w:t>。</w:t>
      </w:r>
      <w:r>
        <w:rPr>
          <w:rFonts w:hint="eastAsia" w:ascii="仿宋" w:hAnsi="仿宋" w:eastAsia="仿宋" w:cs="仿宋"/>
          <w:bCs/>
          <w:color w:val="auto"/>
          <w:sz w:val="32"/>
          <w:szCs w:val="32"/>
          <w:u w:val="none" w:color="auto"/>
        </w:rPr>
        <w:t>依据《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w:t>
      </w:r>
      <w:r>
        <w:rPr>
          <w:rFonts w:hint="eastAsia" w:ascii="仿宋" w:hAnsi="仿宋" w:eastAsia="仿宋" w:cs="仿宋"/>
          <w:sz w:val="32"/>
          <w:szCs w:val="32"/>
          <w:u w:val="none" w:color="auto"/>
        </w:rPr>
        <w:t>，食品经营者履行了本法规定的进货查验等义务，有充分证据证明其不知道所采购的食品超过食品安全标准限量，并能如实说明其进货来源的，可以免予处罚。应给予当事人免予行政处罚</w:t>
      </w:r>
      <w:r>
        <w:rPr>
          <w:rFonts w:hint="eastAsia" w:ascii="仿宋" w:hAnsi="仿宋" w:eastAsia="仿宋" w:cs="仿宋"/>
          <w:sz w:val="32"/>
          <w:szCs w:val="32"/>
          <w:u w:val="none" w:color="auto"/>
          <w:lang w:eastAsia="zh-CN"/>
        </w:rPr>
        <w:t>。</w:t>
      </w:r>
    </w:p>
    <w:p>
      <w:pPr>
        <w:rPr>
          <w:sz w:val="72"/>
          <w:szCs w:val="72"/>
        </w:rPr>
      </w:pPr>
      <w:r>
        <w:rPr>
          <w:rFonts w:hint="eastAsia" w:ascii="宋体" w:hAnsi="宋体" w:cs="宋体"/>
          <w:sz w:val="28"/>
          <w:szCs w:val="28"/>
          <w:lang w:val="en-US" w:eastAsia="zh-CN"/>
        </w:rPr>
        <w:t xml:space="preserve">                                     </w:t>
      </w:r>
      <w:r>
        <w:rPr>
          <w:rFonts w:hint="eastAsia" w:ascii="仿宋" w:hAnsi="仿宋" w:eastAsia="仿宋" w:cs="仿宋"/>
          <w:kern w:val="2"/>
          <w:sz w:val="32"/>
          <w:szCs w:val="32"/>
          <w:u w:val="none" w:color="auto"/>
          <w:lang w:val="en-US" w:eastAsia="zh-CN" w:bidi="ar-SA"/>
        </w:rPr>
        <w:t xml:space="preserve">2020年12月9日 </w:t>
      </w:r>
      <w:bookmarkStart w:id="0" w:name="_GoBack"/>
      <w:bookmarkEnd w:id="0"/>
      <w:r>
        <w:rPr>
          <w:rFonts w:hint="eastAsia" w:ascii="宋体" w:hAnsi="宋体" w:cs="宋体"/>
          <w:sz w:val="24"/>
        </w:rPr>
        <w:t xml:space="preserve">           </w:t>
      </w: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i91E0AAAAAIBAAAPAAAAAAAAAAEAIAAAACIAAABkcnMv&#10;ZG93bnJldi54bWxQSwECFAAUAAAACACHTuJAmfr/QdIBAACkAwAADgAAAAAAAAABACAAAAAfAQAA&#10;ZHJzL2Uyb0RvYy54bWxQSwUGAAAAAAYABgBZAQAAYwUAAAAA&#10;">
              <v:fill on="f" focussize="0,0"/>
              <v:stroke on="f"/>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CE"/>
    <w:rsid w:val="007E6FF5"/>
    <w:rsid w:val="00A80A05"/>
    <w:rsid w:val="00D413CE"/>
    <w:rsid w:val="00FD51C4"/>
    <w:rsid w:val="1083364A"/>
    <w:rsid w:val="1EA04A2C"/>
    <w:rsid w:val="24777F33"/>
    <w:rsid w:val="3A7724F7"/>
    <w:rsid w:val="3D36297F"/>
    <w:rsid w:val="3EC26073"/>
    <w:rsid w:val="47255A64"/>
    <w:rsid w:val="4C4D4337"/>
    <w:rsid w:val="526E1AAB"/>
    <w:rsid w:val="5BBA6441"/>
    <w:rsid w:val="5E6F78C4"/>
    <w:rsid w:val="65D51B54"/>
    <w:rsid w:val="66BA2D95"/>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220"/>
    </w:pPr>
    <w:rPr>
      <w:rFonts w:ascii="宋体" w:hAnsi="宋体"/>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802</Characters>
  <Lines>6</Lines>
  <Paragraphs>1</Paragraphs>
  <TotalTime>1</TotalTime>
  <ScaleCrop>false</ScaleCrop>
  <LinksUpToDate>false</LinksUpToDate>
  <CharactersWithSpaces>941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脑洞养鲸鱼吃土小仙女</cp:lastModifiedBy>
  <cp:lastPrinted>2020-11-18T03:22:00Z</cp:lastPrinted>
  <dcterms:modified xsi:type="dcterms:W3CDTF">2021-01-18T07:32:43Z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