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0" w:firstLineChars="400"/>
        <w:jc w:val="both"/>
        <w:rPr>
          <w:sz w:val="36"/>
          <w:szCs w:val="36"/>
        </w:rPr>
      </w:pPr>
      <w:r>
        <w:rPr>
          <w:rFonts w:hint="eastAsia"/>
          <w:sz w:val="36"/>
          <w:szCs w:val="36"/>
        </w:rPr>
        <w:t>长春市市场监督管理局</w:t>
      </w:r>
      <w:r>
        <w:rPr>
          <w:rFonts w:hint="eastAsia"/>
          <w:sz w:val="36"/>
          <w:szCs w:val="36"/>
          <w:lang w:val="en-US" w:eastAsia="zh-CN"/>
        </w:rPr>
        <w:t>二道</w:t>
      </w:r>
      <w:r>
        <w:rPr>
          <w:rFonts w:hint="eastAsia"/>
          <w:sz w:val="36"/>
          <w:szCs w:val="36"/>
        </w:rPr>
        <w:t>分局</w:t>
      </w:r>
    </w:p>
    <w:p>
      <w:pPr>
        <w:pStyle w:val="2"/>
        <w:bidi w:val="0"/>
      </w:pPr>
      <w:r>
        <w:rPr>
          <w:rFonts w:hint="eastAsia"/>
        </w:rPr>
        <w:t>关于</w:t>
      </w:r>
      <w:bookmarkStart w:id="0" w:name="_GoBack"/>
      <w:r>
        <w:rPr>
          <w:rFonts w:hint="eastAsia"/>
          <w:lang w:val="en-US" w:eastAsia="zh-CN"/>
        </w:rPr>
        <w:t>二道区同康路美日鲜超市</w:t>
      </w:r>
      <w:bookmarkEnd w:id="0"/>
      <w:r>
        <w:rPr>
          <w:rFonts w:hint="eastAsia"/>
        </w:rPr>
        <w:t>销售不合格食品核查处置情况的报告</w:t>
      </w:r>
    </w:p>
    <w:p>
      <w:pPr>
        <w:jc w:val="center"/>
        <w:rPr>
          <w:color w:val="231F20"/>
          <w:sz w:val="36"/>
          <w:szCs w:val="36"/>
        </w:rPr>
      </w:pPr>
    </w:p>
    <w:p>
      <w:pPr>
        <w:numPr>
          <w:ilvl w:val="0"/>
          <w:numId w:val="1"/>
        </w:numPr>
        <w:rPr>
          <w:rFonts w:ascii="宋体" w:hAnsi="宋体" w:cs="宋体"/>
          <w:b/>
          <w:bCs/>
          <w:color w:val="231F20"/>
          <w:sz w:val="32"/>
          <w:szCs w:val="32"/>
        </w:rPr>
      </w:pPr>
      <w:r>
        <w:rPr>
          <w:rFonts w:hint="eastAsia" w:ascii="宋体" w:hAnsi="宋体" w:cs="宋体"/>
          <w:b/>
          <w:bCs/>
          <w:color w:val="231F20"/>
          <w:sz w:val="32"/>
          <w:szCs w:val="32"/>
        </w:rPr>
        <w:t>不合格食品基本情况</w:t>
      </w:r>
    </w:p>
    <w:p>
      <w:pPr>
        <w:ind w:firstLine="560" w:firstLineChars="200"/>
        <w:rPr>
          <w:rFonts w:hint="eastAsia" w:ascii="宋体" w:hAnsi="宋体" w:eastAsia="宋体" w:cs="宋体"/>
          <w:sz w:val="28"/>
          <w:szCs w:val="28"/>
          <w:u w:val="single"/>
        </w:rPr>
      </w:pPr>
      <w:r>
        <w:rPr>
          <w:rFonts w:hint="eastAsia" w:ascii="宋体" w:hAnsi="宋体" w:eastAsia="宋体" w:cs="宋体"/>
          <w:sz w:val="28"/>
          <w:szCs w:val="28"/>
          <w:u w:val="single"/>
          <w:lang w:val="en-US" w:eastAsia="zh-CN"/>
        </w:rPr>
        <w:t>2020年11月2日，长春市市场监督管理局二道分局收到黑龙江省华测检测技术有限公司出具的由二道区同康路美日鲜超市经营的菠菜的检验报告（A2200347101101009C）,检验结论为“经抽样检验，氟虫腈项目不符合GB 2763-2019《食品安全国家标准 食品中农药最大残留限量》要求，检验结论为不合格”。</w:t>
      </w:r>
    </w:p>
    <w:p>
      <w:pPr>
        <w:rPr>
          <w:rFonts w:ascii="宋体" w:hAnsi="宋体" w:cs="宋体"/>
          <w:b/>
          <w:bCs/>
          <w:color w:val="231F20"/>
          <w:sz w:val="32"/>
          <w:szCs w:val="32"/>
        </w:rPr>
      </w:pPr>
      <w:r>
        <w:rPr>
          <w:rFonts w:hint="eastAsia" w:ascii="宋体" w:hAnsi="宋体" w:cs="宋体"/>
          <w:b/>
          <w:bCs/>
          <w:color w:val="231F20"/>
          <w:sz w:val="32"/>
          <w:szCs w:val="32"/>
        </w:rPr>
        <w:t>二．核查处置情况</w:t>
      </w:r>
    </w:p>
    <w:p>
      <w:pPr>
        <w:rPr>
          <w:rFonts w:ascii="宋体" w:hAnsi="宋体" w:cs="宋体"/>
          <w:b/>
          <w:bCs/>
          <w:color w:val="231F20"/>
          <w:sz w:val="32"/>
          <w:szCs w:val="32"/>
        </w:rPr>
      </w:pPr>
      <w:r>
        <w:rPr>
          <w:rFonts w:hint="eastAsia" w:ascii="宋体" w:hAnsi="宋体" w:cs="宋体"/>
          <w:b/>
          <w:bCs/>
          <w:color w:val="231F20"/>
          <w:sz w:val="32"/>
          <w:szCs w:val="32"/>
        </w:rPr>
        <w:t>产品控制情况：</w:t>
      </w:r>
    </w:p>
    <w:p>
      <w:pPr>
        <w:ind w:firstLine="560" w:firstLineChars="200"/>
        <w:rPr>
          <w:rFonts w:hint="eastAsia" w:ascii="宋体" w:hAnsi="宋体" w:eastAsia="宋体" w:cs="宋体"/>
          <w:sz w:val="28"/>
          <w:szCs w:val="28"/>
          <w:u w:val="single"/>
        </w:rPr>
      </w:pPr>
      <w:r>
        <w:rPr>
          <w:rFonts w:hint="eastAsia" w:ascii="宋体" w:hAnsi="宋体" w:eastAsia="宋体" w:cs="宋体"/>
          <w:sz w:val="28"/>
          <w:szCs w:val="28"/>
          <w:u w:val="single"/>
        </w:rPr>
        <w:t>当事人于2020年</w:t>
      </w:r>
      <w:r>
        <w:rPr>
          <w:rFonts w:hint="eastAsia" w:ascii="宋体" w:hAnsi="宋体" w:eastAsia="宋体" w:cs="宋体"/>
          <w:sz w:val="28"/>
          <w:szCs w:val="28"/>
          <w:u w:val="single"/>
          <w:lang w:val="en-US" w:eastAsia="zh-CN"/>
        </w:rPr>
        <w:t>10</w:t>
      </w:r>
      <w:r>
        <w:rPr>
          <w:rFonts w:hint="eastAsia" w:ascii="宋体" w:hAnsi="宋体" w:eastAsia="宋体" w:cs="宋体"/>
          <w:sz w:val="28"/>
          <w:szCs w:val="28"/>
          <w:u w:val="single"/>
        </w:rPr>
        <w:t>月</w:t>
      </w:r>
      <w:r>
        <w:rPr>
          <w:rFonts w:hint="eastAsia" w:ascii="宋体" w:hAnsi="宋体" w:eastAsia="宋体" w:cs="宋体"/>
          <w:sz w:val="28"/>
          <w:szCs w:val="28"/>
          <w:u w:val="single"/>
          <w:lang w:val="en-US" w:eastAsia="zh-CN"/>
        </w:rPr>
        <w:t>6</w:t>
      </w:r>
      <w:r>
        <w:rPr>
          <w:rFonts w:hint="eastAsia" w:ascii="宋体" w:hAnsi="宋体" w:eastAsia="宋体" w:cs="宋体"/>
          <w:sz w:val="28"/>
          <w:szCs w:val="28"/>
          <w:u w:val="single"/>
        </w:rPr>
        <w:t>日从</w:t>
      </w:r>
      <w:r>
        <w:rPr>
          <w:rFonts w:hint="eastAsia" w:ascii="宋体" w:hAnsi="宋体" w:eastAsia="宋体" w:cs="宋体"/>
          <w:sz w:val="28"/>
          <w:szCs w:val="28"/>
          <w:u w:val="single"/>
          <w:lang w:val="en-US" w:eastAsia="zh-CN"/>
        </w:rPr>
        <w:t>绿园区蔬菜批发市场鼎盛净菜配送站</w:t>
      </w:r>
      <w:r>
        <w:rPr>
          <w:rFonts w:hint="eastAsia" w:ascii="宋体" w:hAnsi="宋体" w:eastAsia="宋体" w:cs="宋体"/>
          <w:sz w:val="28"/>
          <w:szCs w:val="28"/>
          <w:u w:val="single"/>
        </w:rPr>
        <w:t>购进被抽检</w:t>
      </w:r>
      <w:r>
        <w:rPr>
          <w:rFonts w:hint="eastAsia" w:ascii="宋体" w:hAnsi="宋体" w:eastAsia="宋体" w:cs="宋体"/>
          <w:sz w:val="28"/>
          <w:szCs w:val="28"/>
          <w:u w:val="single"/>
          <w:lang w:val="en-US" w:eastAsia="zh-CN"/>
        </w:rPr>
        <w:t>菠菜13</w:t>
      </w:r>
      <w:r>
        <w:rPr>
          <w:rFonts w:hint="eastAsia" w:ascii="宋体" w:hAnsi="宋体" w:eastAsia="宋体" w:cs="宋体"/>
          <w:sz w:val="28"/>
          <w:szCs w:val="28"/>
          <w:u w:val="single"/>
        </w:rPr>
        <w:t>公斤，进货价</w:t>
      </w:r>
      <w:r>
        <w:rPr>
          <w:rFonts w:hint="eastAsia" w:ascii="宋体" w:hAnsi="宋体" w:eastAsia="宋体" w:cs="宋体"/>
          <w:sz w:val="28"/>
          <w:szCs w:val="28"/>
          <w:u w:val="single"/>
          <w:lang w:val="en-US" w:eastAsia="zh-CN"/>
        </w:rPr>
        <w:t>4.6</w:t>
      </w:r>
      <w:r>
        <w:rPr>
          <w:rFonts w:hint="eastAsia" w:ascii="宋体" w:hAnsi="宋体" w:eastAsia="宋体" w:cs="宋体"/>
          <w:sz w:val="28"/>
          <w:szCs w:val="28"/>
          <w:u w:val="single"/>
        </w:rPr>
        <w:t>元/公斤，售价</w:t>
      </w:r>
      <w:r>
        <w:rPr>
          <w:rFonts w:hint="eastAsia" w:ascii="宋体" w:hAnsi="宋体" w:eastAsia="宋体" w:cs="宋体"/>
          <w:sz w:val="28"/>
          <w:szCs w:val="28"/>
          <w:u w:val="single"/>
          <w:lang w:val="en-US" w:eastAsia="zh-CN"/>
        </w:rPr>
        <w:t>9.98</w:t>
      </w:r>
      <w:r>
        <w:rPr>
          <w:rFonts w:hint="eastAsia" w:ascii="宋体" w:hAnsi="宋体" w:eastAsia="宋体" w:cs="宋体"/>
          <w:sz w:val="28"/>
          <w:szCs w:val="28"/>
          <w:u w:val="single"/>
        </w:rPr>
        <w:t>元/公斤，已全部销售。</w:t>
      </w:r>
    </w:p>
    <w:p>
      <w:pPr>
        <w:rPr>
          <w:rFonts w:ascii="宋体" w:hAnsi="宋体" w:cs="宋体"/>
          <w:color w:val="231F20"/>
          <w:sz w:val="24"/>
          <w:u w:val="single"/>
        </w:rPr>
      </w:pPr>
    </w:p>
    <w:p>
      <w:pPr>
        <w:rPr>
          <w:rFonts w:ascii="宋体" w:hAnsi="宋体" w:cs="宋体"/>
          <w:b/>
          <w:bCs/>
          <w:color w:val="231F20"/>
          <w:sz w:val="32"/>
          <w:szCs w:val="32"/>
        </w:rPr>
      </w:pPr>
      <w:r>
        <w:rPr>
          <w:rFonts w:hint="eastAsia" w:ascii="宋体" w:hAnsi="宋体" w:cs="宋体"/>
          <w:b/>
          <w:bCs/>
          <w:color w:val="231F20"/>
          <w:sz w:val="32"/>
          <w:szCs w:val="32"/>
        </w:rPr>
        <w:t>违法行为查处情况及依据：</w:t>
      </w:r>
    </w:p>
    <w:p>
      <w:pPr>
        <w:ind w:firstLine="560" w:firstLineChars="200"/>
        <w:rPr>
          <w:rFonts w:hint="eastAsia" w:ascii="宋体" w:hAnsi="宋体" w:eastAsia="宋体" w:cs="宋体"/>
          <w:sz w:val="28"/>
          <w:szCs w:val="28"/>
          <w:u w:val="single"/>
        </w:rPr>
      </w:pPr>
      <w:r>
        <w:rPr>
          <w:rFonts w:hint="eastAsia" w:ascii="宋体" w:hAnsi="宋体" w:eastAsia="宋体" w:cs="宋体"/>
          <w:sz w:val="28"/>
          <w:szCs w:val="28"/>
          <w:u w:val="single"/>
        </w:rPr>
        <w:t>该单位涉嫌违反了《食用农产品市场销售质量安全监督管理办法》第二十五条第（二）项：“第二十五条 禁止销售下列食用农产品：（二）致病性微生物、农药残留、兽药残留、生物毒素、重金属等污染物质以及其他危害人体健康的物质含量超过食品安全标准限量的”</w:t>
      </w:r>
      <w:r>
        <w:rPr>
          <w:rFonts w:hint="eastAsia" w:ascii="宋体" w:hAnsi="宋体" w:cs="宋体"/>
          <w:sz w:val="28"/>
          <w:szCs w:val="28"/>
          <w:u w:val="single"/>
          <w:lang w:val="en-US" w:eastAsia="zh-CN"/>
        </w:rPr>
        <w:t>的</w:t>
      </w:r>
      <w:r>
        <w:rPr>
          <w:rFonts w:hint="eastAsia" w:ascii="宋体" w:hAnsi="宋体" w:eastAsia="宋体" w:cs="宋体"/>
          <w:sz w:val="28"/>
          <w:szCs w:val="28"/>
          <w:u w:val="single"/>
        </w:rPr>
        <w:t>规定。</w:t>
      </w:r>
    </w:p>
    <w:p>
      <w:pPr>
        <w:ind w:firstLine="560" w:firstLineChars="200"/>
        <w:rPr>
          <w:rFonts w:hint="eastAsia" w:ascii="宋体" w:hAnsi="宋体" w:eastAsia="宋体" w:cs="宋体"/>
          <w:sz w:val="28"/>
          <w:szCs w:val="28"/>
        </w:rPr>
      </w:pPr>
      <w:r>
        <w:rPr>
          <w:rFonts w:hint="eastAsia" w:ascii="宋体" w:hAnsi="宋体" w:eastAsia="宋体" w:cs="宋体"/>
          <w:sz w:val="28"/>
          <w:szCs w:val="28"/>
          <w:u w:val="single"/>
        </w:rPr>
        <w:t>当事人对检测报告结论无异议，当事人对采购的</w:t>
      </w:r>
      <w:r>
        <w:rPr>
          <w:rFonts w:hint="eastAsia" w:ascii="宋体" w:hAnsi="宋体" w:cs="宋体"/>
          <w:color w:val="231F20"/>
          <w:spacing w:val="-12"/>
          <w:sz w:val="28"/>
          <w:szCs w:val="28"/>
          <w:u w:val="single"/>
          <w:lang w:val="en-US" w:eastAsia="zh-CN"/>
        </w:rPr>
        <w:t>产品不符合食品安全标准</w:t>
      </w:r>
      <w:r>
        <w:rPr>
          <w:rFonts w:hint="eastAsia" w:ascii="宋体" w:hAnsi="宋体" w:eastAsia="宋体" w:cs="宋体"/>
          <w:color w:val="231F20"/>
          <w:spacing w:val="-12"/>
          <w:sz w:val="28"/>
          <w:szCs w:val="28"/>
          <w:u w:val="single"/>
        </w:rPr>
        <w:t>限量</w:t>
      </w:r>
      <w:r>
        <w:rPr>
          <w:rFonts w:hint="eastAsia" w:ascii="宋体" w:hAnsi="宋体" w:eastAsia="宋体" w:cs="宋体"/>
          <w:sz w:val="28"/>
          <w:szCs w:val="28"/>
          <w:u w:val="single"/>
        </w:rPr>
        <w:t>的情况并不知情，并且已经履行了索证索票义务并能说明采购食品的来源。</w:t>
      </w:r>
    </w:p>
    <w:p>
      <w:pPr>
        <w:pStyle w:val="3"/>
        <w:tabs>
          <w:tab w:val="left" w:pos="8920"/>
        </w:tabs>
        <w:spacing w:before="143"/>
        <w:ind w:left="0" w:firstLine="560" w:firstLineChars="200"/>
        <w:rPr>
          <w:rFonts w:hint="eastAsia" w:ascii="宋体" w:hAnsi="宋体" w:eastAsia="宋体" w:cs="宋体"/>
          <w:sz w:val="28"/>
          <w:szCs w:val="28"/>
        </w:rPr>
      </w:pPr>
      <w:r>
        <w:rPr>
          <w:rFonts w:hint="eastAsia" w:cs="宋体"/>
          <w:sz w:val="28"/>
          <w:szCs w:val="28"/>
          <w:u w:val="single"/>
          <w:lang w:val="en-US" w:eastAsia="zh-CN"/>
        </w:rPr>
        <w:t>当事人</w:t>
      </w:r>
      <w:r>
        <w:rPr>
          <w:rFonts w:hint="eastAsia" w:ascii="宋体" w:hAnsi="宋体" w:eastAsia="宋体" w:cs="宋体"/>
          <w:sz w:val="28"/>
          <w:szCs w:val="28"/>
          <w:u w:val="single"/>
        </w:rPr>
        <w:t>违反了《食用农产品市场销售质量安全监督管理办法》第二十五条第（二）项：“第二十五条 禁止销售下列食用农产品：（二）致病性微生物、农药残留、兽药残留、生物毒素、重金属等污染物质以及其他危害人体健康的物质含量超过食品安全标准限量的”</w:t>
      </w:r>
      <w:r>
        <w:rPr>
          <w:rFonts w:hint="eastAsia" w:ascii="宋体" w:hAnsi="宋体" w:cs="宋体"/>
          <w:sz w:val="28"/>
          <w:szCs w:val="28"/>
          <w:u w:val="single"/>
          <w:lang w:val="en-US" w:eastAsia="zh-CN"/>
        </w:rPr>
        <w:t>的</w:t>
      </w:r>
      <w:r>
        <w:rPr>
          <w:rFonts w:hint="eastAsia" w:ascii="宋体" w:hAnsi="宋体" w:eastAsia="宋体" w:cs="宋体"/>
          <w:sz w:val="28"/>
          <w:szCs w:val="28"/>
          <w:u w:val="single"/>
        </w:rPr>
        <w:t>规定。依据《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食品经营者履行了本法规定的进货查验等义务，有充分证据证明其不知道所采购的食品超过食品安全标准限量，并能如实说明其进货来源的，可以免予处罚。应给予当事人免予行政处罚。</w:t>
      </w:r>
    </w:p>
    <w:p>
      <w:pPr>
        <w:rPr>
          <w:rFonts w:hint="eastAsia" w:ascii="宋体" w:hAnsi="宋体" w:eastAsia="宋体" w:cs="宋体"/>
          <w:sz w:val="28"/>
          <w:szCs w:val="28"/>
        </w:rPr>
      </w:pPr>
    </w:p>
    <w:p>
      <w:pPr>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                                     2021年1月19日 </w:t>
      </w:r>
    </w:p>
    <w:p>
      <w:pPr>
        <w:ind w:firstLine="480" w:firstLineChars="200"/>
        <w:rPr>
          <w:rFonts w:ascii="宋体" w:hAnsi="宋体" w:cs="宋体"/>
          <w:sz w:val="24"/>
        </w:rPr>
      </w:pPr>
    </w:p>
    <w:p>
      <w:pPr>
        <w:ind w:firstLine="480" w:firstLineChars="200"/>
        <w:rPr>
          <w:rFonts w:ascii="宋体" w:hAnsi="宋体" w:cs="宋体"/>
          <w:sz w:val="24"/>
        </w:rPr>
      </w:pPr>
    </w:p>
    <w:p>
      <w:pPr>
        <w:pStyle w:val="3"/>
        <w:tabs>
          <w:tab w:val="left" w:pos="5003"/>
          <w:tab w:val="left" w:pos="5963"/>
        </w:tabs>
        <w:spacing w:before="173"/>
        <w:ind w:left="4043"/>
        <w:jc w:val="center"/>
        <w:rPr>
          <w:rFonts w:cs="宋体"/>
          <w:color w:val="231F20"/>
          <w:sz w:val="24"/>
          <w:szCs w:val="24"/>
        </w:rPr>
      </w:pPr>
      <w:r>
        <w:rPr>
          <w:rFonts w:hint="eastAsia" w:cs="宋体"/>
          <w:sz w:val="24"/>
          <w:szCs w:val="24"/>
        </w:rPr>
        <w:t xml:space="preserve">                              </w:t>
      </w:r>
    </w:p>
    <w:p>
      <w:pPr>
        <w:ind w:firstLine="480" w:firstLineChars="200"/>
        <w:rPr>
          <w:sz w:val="72"/>
          <w:szCs w:val="72"/>
        </w:rPr>
      </w:pPr>
      <w:r>
        <w:rPr>
          <w:rFonts w:hint="eastAsia" w:ascii="宋体" w:hAnsi="宋体" w:cs="宋体"/>
          <w:sz w:val="24"/>
        </w:rPr>
        <w:t xml:space="preserve">                </w:t>
      </w:r>
    </w:p>
    <w:sectPr>
      <w:headerReference r:id="rId3" w:type="default"/>
      <w:footerReference r:id="rId4" w:type="default"/>
      <w:footerReference r:id="rId5" w:type="even"/>
      <w:pgSz w:w="11906" w:h="16838"/>
      <w:pgMar w:top="1440" w:right="1797" w:bottom="1440" w:left="1797" w:header="851" w:footer="992"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pPr>
                            <w:pStyle w:val="4"/>
                            <w:rPr>
                              <w:rStyle w:val="8"/>
                            </w:rPr>
                          </w:pPr>
                          <w:r>
                            <w:fldChar w:fldCharType="begin"/>
                          </w:r>
                          <w:r>
                            <w:rPr>
                              <w:rStyle w:val="8"/>
                            </w:rPr>
                            <w:instrText xml:space="preserve">PAGE  </w:instrText>
                          </w:r>
                          <w:r>
                            <w:fldChar w:fldCharType="separate"/>
                          </w:r>
                          <w:r>
                            <w:rPr>
                              <w:rStyle w:val="8"/>
                            </w:rP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Pi91E0AAAAAIBAAAPAAAAAAAAAAEAIAAAACIAAABkcnMv&#10;ZG93bnJldi54bWxQSwECFAAUAAAACACHTuJAmfr/QdIBAACkAwAADgAAAAAAAAABACAAAAAfAQAA&#10;ZHJzL2Uyb0RvYy54bWxQSwUGAAAAAAYABgBZAQAAYwUAAAAA&#10;">
              <v:fill on="f" focussize="0,0"/>
              <v:stroke on="f"/>
              <v:imagedata o:title=""/>
              <o:lock v:ext="edit" aspectratio="f"/>
              <v:textbox inset="0mm,0mm,0mm,0mm" style="mso-fit-shape-to-text:t;">
                <w:txbxContent>
                  <w:p>
                    <w:pPr>
                      <w:pStyle w:val="4"/>
                      <w:rPr>
                        <w:rStyle w:val="8"/>
                      </w:rPr>
                    </w:pPr>
                    <w:r>
                      <w:fldChar w:fldCharType="begin"/>
                    </w:r>
                    <w:r>
                      <w:rPr>
                        <w:rStyle w:val="8"/>
                      </w:rPr>
                      <w:instrText xml:space="preserve">PAGE  </w:instrText>
                    </w:r>
                    <w:r>
                      <w:fldChar w:fldCharType="separate"/>
                    </w:r>
                    <w:r>
                      <w:rPr>
                        <w:rStyle w:val="8"/>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89265E"/>
    <w:multiLevelType w:val="singleLevel"/>
    <w:tmpl w:val="DA89265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3CE"/>
    <w:rsid w:val="007E6FF5"/>
    <w:rsid w:val="00A80A05"/>
    <w:rsid w:val="00D413CE"/>
    <w:rsid w:val="00FD51C4"/>
    <w:rsid w:val="1083364A"/>
    <w:rsid w:val="12E17689"/>
    <w:rsid w:val="1EA04A2C"/>
    <w:rsid w:val="24777F33"/>
    <w:rsid w:val="3A7724F7"/>
    <w:rsid w:val="3D36297F"/>
    <w:rsid w:val="3EC26073"/>
    <w:rsid w:val="4C4D4337"/>
    <w:rsid w:val="526E1AAB"/>
    <w:rsid w:val="5BBA6441"/>
    <w:rsid w:val="5E6F78C4"/>
    <w:rsid w:val="65D51B54"/>
    <w:rsid w:val="66BA2D95"/>
    <w:rsid w:val="7F405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220"/>
    </w:pPr>
    <w:rPr>
      <w:rFonts w:ascii="宋体" w:hAnsi="宋体"/>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140</Words>
  <Characters>802</Characters>
  <Lines>6</Lines>
  <Paragraphs>1</Paragraphs>
  <TotalTime>5</TotalTime>
  <ScaleCrop>false</ScaleCrop>
  <LinksUpToDate>false</LinksUpToDate>
  <CharactersWithSpaces>941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GM.</cp:lastModifiedBy>
  <cp:lastPrinted>2020-11-18T03:22:00Z</cp:lastPrinted>
  <dcterms:modified xsi:type="dcterms:W3CDTF">2021-01-19T01:48:35Z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