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44"/>
          <w:szCs w:val="44"/>
          <w:lang w:val="en-US" w:eastAsia="zh-CN"/>
        </w:rPr>
      </w:pPr>
      <w:r>
        <w:rPr>
          <w:rFonts w:hint="eastAsia"/>
          <w:b/>
          <w:bCs/>
          <w:sz w:val="44"/>
          <w:szCs w:val="44"/>
          <w:lang w:val="en-US" w:eastAsia="zh-CN"/>
        </w:rPr>
        <w:t xml:space="preserve"> </w:t>
      </w:r>
      <w:bookmarkStart w:id="0" w:name="_GoBack"/>
      <w:bookmarkEnd w:id="0"/>
    </w:p>
    <w:p>
      <w:pPr>
        <w:jc w:val="center"/>
        <w:rPr>
          <w:b/>
          <w:bCs/>
          <w:sz w:val="44"/>
          <w:szCs w:val="44"/>
        </w:rPr>
      </w:pPr>
      <w:r>
        <w:rPr>
          <w:rFonts w:hint="eastAsia"/>
          <w:b/>
          <w:bCs/>
          <w:sz w:val="44"/>
          <w:szCs w:val="44"/>
        </w:rPr>
        <w:t>长春市二道区</w:t>
      </w:r>
      <w:r>
        <w:rPr>
          <w:b/>
          <w:bCs/>
          <w:sz w:val="44"/>
          <w:szCs w:val="44"/>
        </w:rPr>
        <w:t>2022</w:t>
      </w:r>
      <w:r>
        <w:rPr>
          <w:rFonts w:hint="eastAsia"/>
          <w:b/>
          <w:bCs/>
          <w:sz w:val="44"/>
          <w:szCs w:val="44"/>
        </w:rPr>
        <w:t>年预算绩效管理</w:t>
      </w:r>
    </w:p>
    <w:p>
      <w:pPr>
        <w:jc w:val="center"/>
        <w:rPr>
          <w:b/>
          <w:bCs/>
          <w:sz w:val="44"/>
          <w:szCs w:val="44"/>
        </w:rPr>
      </w:pPr>
      <w:r>
        <w:rPr>
          <w:rFonts w:hint="eastAsia"/>
          <w:b/>
          <w:bCs/>
          <w:sz w:val="44"/>
          <w:szCs w:val="44"/>
        </w:rPr>
        <w:t>工作情况</w:t>
      </w:r>
    </w:p>
    <w:p>
      <w:pPr>
        <w:autoSpaceDE w:val="0"/>
        <w:snapToGrid w:val="0"/>
        <w:spacing w:line="600" w:lineRule="exact"/>
        <w:rPr>
          <w:rFonts w:ascii="仿宋_GB2312" w:hAnsi="Times New Roman" w:eastAsia="仿宋_GB2312"/>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一、绩效管理工作开展情况</w:t>
      </w:r>
    </w:p>
    <w:p>
      <w:pPr>
        <w:autoSpaceDE w:val="0"/>
        <w:snapToGrid w:val="0"/>
        <w:spacing w:line="600" w:lineRule="exact"/>
        <w:ind w:firstLine="640" w:firstLineChars="200"/>
        <w:rPr>
          <w:rFonts w:ascii="仿宋_GB2312" w:hAnsi="Times New Roman" w:eastAsia="仿宋_GB2312"/>
          <w:sz w:val="32"/>
          <w:szCs w:val="32"/>
        </w:rPr>
      </w:pPr>
      <w:r>
        <w:rPr>
          <w:rFonts w:hint="eastAsia" w:ascii="楷体_GB2312" w:hAnsi="楷体_GB2312" w:eastAsia="楷体_GB2312" w:cs="楷体_GB2312"/>
          <w:bCs/>
          <w:sz w:val="32"/>
          <w:szCs w:val="32"/>
          <w:shd w:val="clear" w:color="auto" w:fill="FFFFFF"/>
        </w:rPr>
        <w:t>（一）加强绩效管理组织保障。</w:t>
      </w:r>
      <w:r>
        <w:rPr>
          <w:rFonts w:hint="eastAsia" w:ascii="仿宋_GB2312" w:hAnsi="Times New Roman" w:eastAsia="仿宋_GB2312"/>
          <w:sz w:val="32"/>
          <w:szCs w:val="32"/>
        </w:rPr>
        <w:t>我局成立以局长为组长，分管副局长为副组长的预算绩效工作领导小组，预算科为牵头科室统筹协调推进，指派</w:t>
      </w:r>
      <w:r>
        <w:rPr>
          <w:rFonts w:ascii="仿宋_GB2312" w:hAnsi="Times New Roman" w:eastAsia="仿宋_GB2312"/>
          <w:sz w:val="32"/>
          <w:szCs w:val="32"/>
        </w:rPr>
        <w:t>2</w:t>
      </w:r>
      <w:r>
        <w:rPr>
          <w:rFonts w:hint="eastAsia" w:ascii="仿宋_GB2312" w:hAnsi="Times New Roman" w:eastAsia="仿宋_GB2312"/>
          <w:sz w:val="32"/>
          <w:szCs w:val="32"/>
        </w:rPr>
        <w:t>名科室人员专门负责预算绩效日常管理，同时各相关科室负责人按各自分工认领工作任务，把落实此项工作作为一项政治任务来抓。</w:t>
      </w:r>
      <w:r>
        <w:rPr>
          <w:rFonts w:ascii="仿宋_GB2312" w:hAnsi="Times New Roman" w:eastAsia="仿宋_GB2312"/>
          <w:sz w:val="32"/>
          <w:szCs w:val="32"/>
        </w:rPr>
        <w:t>2022</w:t>
      </w:r>
      <w:r>
        <w:rPr>
          <w:rFonts w:hint="eastAsia" w:ascii="仿宋_GB2312" w:hAnsi="Times New Roman" w:eastAsia="仿宋_GB2312"/>
          <w:sz w:val="32"/>
          <w:szCs w:val="32"/>
        </w:rPr>
        <w:t>年，在我局部门预算中足额安排预算绩效管理工作经费</w:t>
      </w:r>
      <w:r>
        <w:rPr>
          <w:rFonts w:ascii="仿宋_GB2312" w:hAnsi="Times New Roman" w:eastAsia="仿宋_GB2312"/>
          <w:sz w:val="32"/>
          <w:szCs w:val="32"/>
        </w:rPr>
        <w:t>20</w:t>
      </w:r>
      <w:r>
        <w:rPr>
          <w:rFonts w:hint="eastAsia" w:ascii="仿宋_GB2312" w:hAnsi="Times New Roman" w:eastAsia="仿宋_GB2312"/>
          <w:sz w:val="32"/>
          <w:szCs w:val="32"/>
        </w:rPr>
        <w:t>万元，扎实稳妥推进相关工作开展。</w:t>
      </w:r>
    </w:p>
    <w:p>
      <w:pPr>
        <w:autoSpaceDE w:val="0"/>
        <w:snapToGrid w:val="0"/>
        <w:spacing w:line="60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bCs/>
          <w:sz w:val="32"/>
          <w:szCs w:val="32"/>
          <w:shd w:val="clear" w:color="auto" w:fill="FFFFFF"/>
        </w:rPr>
        <w:t>（二）加强预算绩效管理制度建设。</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年，在已制定《二道区预算绩效管理办法（试行）》基础上，参照市财政局，我局先后制定完成《长春市二道区预算绩效运行监控管理实施办法（试行）》、《长春市二道区预算事前绩效评估管理办法（试行）》等文件，积极推动局内部和各预算单位学习，结合上级政策要求和实际工作，听取各方面意见开展相关工作，提高了各部门对绩效工作的重视程度。同时，制度的建设夯实了预算绩效管理的基础，完善了全面实施预算绩效管理后制度的短板，把绩效理念、方法推向各个预算单位，促进了绩效管理的完整性、科学性、全面性。</w:t>
      </w:r>
    </w:p>
    <w:p>
      <w:pPr>
        <w:autoSpaceDE w:val="0"/>
        <w:snapToGrid w:val="0"/>
        <w:spacing w:line="600" w:lineRule="exact"/>
        <w:ind w:firstLine="640" w:firstLineChars="200"/>
        <w:rPr>
          <w:rFonts w:ascii="仿宋_GB2312" w:hAnsi="仿宋_GB2312" w:eastAsia="仿宋_GB2312" w:cs="仿宋_GB2312"/>
          <w:color w:val="000000"/>
          <w:sz w:val="32"/>
          <w:szCs w:val="32"/>
        </w:rPr>
      </w:pPr>
      <w:r>
        <w:rPr>
          <w:rFonts w:ascii="楷体_GB2312" w:hAnsi="楷体_GB2312" w:eastAsia="楷体_GB2312" w:cs="楷体_GB2312"/>
          <w:bCs/>
          <w:sz w:val="32"/>
          <w:szCs w:val="32"/>
          <w:shd w:val="clear" w:color="auto" w:fill="FFFFFF"/>
        </w:rPr>
        <w:t xml:space="preserve"> (</w:t>
      </w:r>
      <w:r>
        <w:rPr>
          <w:rFonts w:hint="eastAsia" w:ascii="楷体_GB2312" w:hAnsi="楷体_GB2312" w:eastAsia="楷体_GB2312" w:cs="楷体_GB2312"/>
          <w:bCs/>
          <w:sz w:val="32"/>
          <w:szCs w:val="32"/>
          <w:shd w:val="clear" w:color="auto" w:fill="FFFFFF"/>
        </w:rPr>
        <w:t>三）加强预算绩效管理业务培训。</w:t>
      </w:r>
      <w:r>
        <w:rPr>
          <w:rFonts w:hint="eastAsia" w:ascii="仿宋_GB2312" w:hAnsi="仿宋_GB2312" w:eastAsia="仿宋_GB2312" w:cs="仿宋_GB2312"/>
          <w:color w:val="000000"/>
          <w:sz w:val="32"/>
          <w:szCs w:val="32"/>
        </w:rPr>
        <w:t>我局分别于</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日及</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日对全区共计</w:t>
      </w:r>
      <w:r>
        <w:rPr>
          <w:rFonts w:ascii="仿宋_GB2312" w:hAnsi="仿宋_GB2312" w:eastAsia="仿宋_GB2312" w:cs="仿宋_GB2312"/>
          <w:color w:val="000000"/>
          <w:sz w:val="32"/>
          <w:szCs w:val="32"/>
        </w:rPr>
        <w:t>110</w:t>
      </w:r>
      <w:r>
        <w:rPr>
          <w:rFonts w:hint="eastAsia" w:ascii="仿宋_GB2312" w:hAnsi="仿宋_GB2312" w:eastAsia="仿宋_GB2312" w:cs="仿宋_GB2312"/>
          <w:color w:val="000000"/>
          <w:sz w:val="32"/>
          <w:szCs w:val="32"/>
        </w:rPr>
        <w:t>家预算单位财务人员开展</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年度预算绩效管理工作专题线上培训，培训通过对政策解读、全过程工作要点、实务操作、案例分析四部分内容的展开，结合部门实际填报案例，对全面实施预算绩效管理作了系统全面的讲解，为我区各预算单位做好预算绩效管理工作奠定良好基础。</w:t>
      </w:r>
    </w:p>
    <w:p>
      <w:pPr>
        <w:autoSpaceDE w:val="0"/>
        <w:snapToGrid w:val="0"/>
        <w:spacing w:line="600" w:lineRule="exact"/>
        <w:ind w:firstLine="640" w:firstLineChars="200"/>
        <w:rPr>
          <w:rFonts w:eastAsia="仿宋_GB2312"/>
        </w:rPr>
      </w:pPr>
      <w:r>
        <w:rPr>
          <w:rFonts w:hint="eastAsia" w:ascii="楷体_GB2312" w:hAnsi="楷体_GB2312" w:eastAsia="楷体_GB2312" w:cs="楷体_GB2312"/>
          <w:bCs/>
          <w:sz w:val="32"/>
          <w:szCs w:val="32"/>
          <w:shd w:val="clear" w:color="auto" w:fill="FFFFFF"/>
        </w:rPr>
        <w:t>（四）加强绩效管理事前评估。</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年，我区成功申请专项债券项目</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个，限额总金额</w:t>
      </w:r>
      <w:r>
        <w:rPr>
          <w:rFonts w:ascii="仿宋_GB2312" w:hAnsi="仿宋_GB2312" w:eastAsia="仿宋_GB2312" w:cs="仿宋_GB2312"/>
          <w:color w:val="000000"/>
          <w:sz w:val="32"/>
          <w:szCs w:val="32"/>
        </w:rPr>
        <w:t>111,300</w:t>
      </w:r>
      <w:r>
        <w:rPr>
          <w:rFonts w:hint="eastAsia" w:ascii="仿宋_GB2312" w:hAnsi="仿宋_GB2312" w:eastAsia="仿宋_GB2312" w:cs="仿宋_GB2312"/>
          <w:color w:val="000000"/>
          <w:sz w:val="32"/>
          <w:szCs w:val="32"/>
        </w:rPr>
        <w:t>万元，位列五城区第一。为继续做好申报工作，</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年我区对申报</w:t>
      </w:r>
      <w:r>
        <w:rPr>
          <w:rFonts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rPr>
        <w:t>年地方政府专项债券资金的</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个新增专项债券项目（</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、长春英俊污水厂中水回用项目；</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、二道区人才创新孵化基地产业园项目）进行事前绩效评估，评估结果显示申报项目全部符合申报条件。</w:t>
      </w:r>
    </w:p>
    <w:p>
      <w:pPr>
        <w:autoSpaceDE w:val="0"/>
        <w:snapToGrid w:val="0"/>
        <w:spacing w:line="600" w:lineRule="exact"/>
        <w:ind w:firstLine="640" w:firstLineChars="200"/>
        <w:rPr>
          <w:rFonts w:ascii="仿宋_GB2312" w:hAnsi="Times New Roman" w:eastAsia="仿宋_GB2312"/>
          <w:sz w:val="32"/>
          <w:szCs w:val="32"/>
        </w:rPr>
      </w:pPr>
      <w:r>
        <w:rPr>
          <w:rFonts w:hint="eastAsia" w:ascii="楷体_GB2312" w:hAnsi="楷体_GB2312" w:eastAsia="楷体_GB2312" w:cs="楷体_GB2312"/>
          <w:bCs/>
          <w:sz w:val="32"/>
          <w:szCs w:val="32"/>
          <w:shd w:val="clear" w:color="auto" w:fill="FFFFFF"/>
        </w:rPr>
        <w:t>（五）加强预算绩效目标管理。</w:t>
      </w:r>
      <w:r>
        <w:rPr>
          <w:rFonts w:hint="eastAsia" w:ascii="仿宋_GB2312" w:hAnsi="Times New Roman" w:eastAsia="仿宋_GB2312"/>
          <w:sz w:val="32"/>
          <w:szCs w:val="32"/>
        </w:rPr>
        <w:t>以预算管理一体化系统为载体，</w:t>
      </w:r>
      <w:r>
        <w:rPr>
          <w:rFonts w:ascii="仿宋_GB2312" w:hAnsi="Times New Roman" w:eastAsia="仿宋_GB2312"/>
          <w:sz w:val="32"/>
          <w:szCs w:val="32"/>
        </w:rPr>
        <w:t>2022</w:t>
      </w:r>
      <w:r>
        <w:rPr>
          <w:rFonts w:hint="eastAsia" w:ascii="仿宋_GB2312" w:hAnsi="Times New Roman" w:eastAsia="仿宋_GB2312"/>
          <w:sz w:val="32"/>
          <w:szCs w:val="32"/>
        </w:rPr>
        <w:t>年完成全区</w:t>
      </w:r>
      <w:r>
        <w:rPr>
          <w:rFonts w:ascii="仿宋_GB2312" w:hAnsi="Times New Roman" w:eastAsia="仿宋_GB2312"/>
          <w:sz w:val="32"/>
          <w:szCs w:val="32"/>
        </w:rPr>
        <w:t>110</w:t>
      </w:r>
      <w:r>
        <w:rPr>
          <w:rFonts w:hint="eastAsia" w:ascii="仿宋_GB2312" w:hAnsi="Times New Roman" w:eastAsia="仿宋_GB2312"/>
          <w:sz w:val="32"/>
          <w:szCs w:val="32"/>
        </w:rPr>
        <w:t>家预算单位申报的部门整体支出绩效目标、项目支出绩效目标审核，对绩效目标设置过高或过低、关联性低以及没有量化的情况进行适当调整，确保项目绩效目标更加科学性、合理性，对绩效目标审核未通过的项目，不予安排预算。</w:t>
      </w:r>
    </w:p>
    <w:p>
      <w:pPr>
        <w:autoSpaceDE w:val="0"/>
        <w:snapToGrid w:val="0"/>
        <w:spacing w:line="600" w:lineRule="exact"/>
        <w:ind w:firstLine="640" w:firstLineChars="200"/>
        <w:rPr>
          <w:rFonts w:ascii="仿宋_GB2312" w:hAnsi="Times New Roman" w:eastAsia="仿宋_GB2312"/>
          <w:sz w:val="32"/>
          <w:szCs w:val="32"/>
        </w:rPr>
      </w:pPr>
      <w:r>
        <w:rPr>
          <w:rFonts w:hint="eastAsia" w:ascii="楷体_GB2312" w:hAnsi="楷体_GB2312" w:eastAsia="楷体_GB2312" w:cs="楷体_GB2312"/>
          <w:bCs/>
          <w:sz w:val="32"/>
          <w:szCs w:val="32"/>
          <w:shd w:val="clear" w:color="auto" w:fill="FFFFFF"/>
        </w:rPr>
        <w:t>（六）加强预算绩效监控。</w:t>
      </w:r>
      <w:r>
        <w:rPr>
          <w:rFonts w:hint="eastAsia" w:ascii="仿宋_GB2312" w:hAnsi="Times New Roman" w:eastAsia="仿宋_GB2312"/>
          <w:sz w:val="32"/>
          <w:szCs w:val="32"/>
        </w:rPr>
        <w:t>按照预算绩效管理要求，加强国库资金监管，确保资金安全有效，对各预算单位绩效目标实现程度和预算执行进度“双监控”，发现问题及时纠正，确保绩效目标如期保质保量完成。</w:t>
      </w:r>
    </w:p>
    <w:p>
      <w:pPr>
        <w:ind w:firstLine="640" w:firstLineChars="200"/>
        <w:jc w:val="left"/>
        <w:rPr>
          <w:rFonts w:ascii="黑体" w:hAnsi="黑体" w:eastAsia="黑体"/>
          <w:sz w:val="32"/>
          <w:szCs w:val="32"/>
        </w:rPr>
      </w:pPr>
      <w:r>
        <w:rPr>
          <w:rFonts w:hint="eastAsia" w:ascii="黑体" w:hAnsi="黑体" w:eastAsia="黑体"/>
          <w:sz w:val="32"/>
          <w:szCs w:val="32"/>
        </w:rPr>
        <w:t>二、阶段性成效</w:t>
      </w:r>
    </w:p>
    <w:p>
      <w:pPr>
        <w:ind w:firstLine="480" w:firstLineChars="150"/>
        <w:jc w:val="left"/>
        <w:rPr>
          <w:rFonts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（一）各部门对预算绩效管理工作重视程度逐步提高。</w:t>
      </w:r>
      <w:r>
        <w:rPr>
          <w:rFonts w:hint="eastAsia" w:ascii="仿宋_GB2312" w:hAnsi="Times New Roman" w:eastAsia="仿宋_GB2312"/>
          <w:sz w:val="32"/>
          <w:szCs w:val="32"/>
        </w:rPr>
        <w:t>近年来随着预算绩效管理工作内容越来越规范，流程越来越明晰。各部门对自身在绩效管理工作中承担的责任与角色也有了更加清晰的认识，对预算绩效管理工作都能够给予充分重视，并且能够积极主动的学习与工作，大大提高了预算绩效管理工作的效率。</w:t>
      </w:r>
    </w:p>
    <w:p>
      <w:pPr>
        <w:ind w:firstLine="640" w:firstLineChars="200"/>
        <w:jc w:val="left"/>
        <w:rPr>
          <w:rFonts w:ascii="楷体_GB2312" w:hAnsi="楷体_GB2312" w:eastAsia="楷体_GB2312" w:cs="楷体_GB2312"/>
          <w:bCs/>
          <w:sz w:val="32"/>
          <w:szCs w:val="32"/>
          <w:shd w:val="clear" w:color="auto" w:fill="FFFFFF"/>
        </w:rPr>
      </w:pPr>
      <w:r>
        <w:rPr>
          <w:rFonts w:hint="eastAsia" w:ascii="楷体_GB2312" w:hAnsi="楷体_GB2312" w:eastAsia="楷体_GB2312" w:cs="楷体_GB2312"/>
          <w:bCs/>
          <w:sz w:val="32"/>
          <w:szCs w:val="32"/>
          <w:shd w:val="clear" w:color="auto" w:fill="FFFFFF"/>
        </w:rPr>
        <w:t>（二）预算一体化系统绩效模块完成初步上线。</w:t>
      </w:r>
      <w:r>
        <w:rPr>
          <w:rFonts w:ascii="仿宋_GB2312" w:hAnsi="Times New Roman" w:eastAsia="仿宋_GB2312"/>
          <w:sz w:val="32"/>
          <w:szCs w:val="32"/>
        </w:rPr>
        <w:t>2022</w:t>
      </w:r>
      <w:r>
        <w:rPr>
          <w:rFonts w:hint="eastAsia" w:ascii="仿宋_GB2312" w:hAnsi="Times New Roman" w:eastAsia="仿宋_GB2312"/>
          <w:sz w:val="32"/>
          <w:szCs w:val="32"/>
        </w:rPr>
        <w:t>年，在预算一体化系统中上线了预算绩效管理模块，首次实现绩效目标管理、绩效监控管理线上全覆盖。对预算执行进度和绩效目标完成情况进行“双监控”。积极转变了部门预算过去“重分配、轻管理，重支出、轻绩效”的传统预算管理理念，减少了资金支出的随意性，促进了资源整合，增强了决策的科学性，项目安排的合理性，预算执行的规范性。</w:t>
      </w:r>
    </w:p>
    <w:p>
      <w:pPr>
        <w:ind w:firstLine="640" w:firstLineChars="200"/>
        <w:jc w:val="left"/>
        <w:rPr>
          <w:rFonts w:ascii="仿宋_GB2312" w:hAnsi="Times New Roman" w:eastAsia="仿宋_GB2312"/>
          <w:sz w:val="32"/>
          <w:szCs w:val="32"/>
        </w:rPr>
      </w:pPr>
      <w:r>
        <w:rPr>
          <w:rFonts w:hint="eastAsia" w:ascii="楷体_GB2312" w:hAnsi="楷体_GB2312" w:eastAsia="楷体_GB2312" w:cs="楷体_GB2312"/>
          <w:bCs/>
          <w:sz w:val="32"/>
          <w:szCs w:val="32"/>
          <w:shd w:val="clear" w:color="auto" w:fill="FFFFFF"/>
        </w:rPr>
        <w:t>（三）资金使用效益不断提高。</w:t>
      </w:r>
      <w:r>
        <w:rPr>
          <w:rFonts w:ascii="仿宋_GB2312" w:hAnsi="Times New Roman" w:eastAsia="仿宋_GB2312"/>
          <w:sz w:val="32"/>
          <w:szCs w:val="32"/>
        </w:rPr>
        <w:t>2022</w:t>
      </w:r>
      <w:r>
        <w:rPr>
          <w:rFonts w:hint="eastAsia" w:ascii="仿宋_GB2312" w:hAnsi="Times New Roman" w:eastAsia="仿宋_GB2312"/>
          <w:sz w:val="32"/>
          <w:szCs w:val="32"/>
        </w:rPr>
        <w:t>年，我局根据各部门需求资金的内容及额度</w:t>
      </w:r>
      <w:r>
        <w:rPr>
          <w:rFonts w:ascii="仿宋_GB2312" w:hAnsi="Times New Roman" w:eastAsia="仿宋_GB2312"/>
          <w:sz w:val="32"/>
          <w:szCs w:val="32"/>
        </w:rPr>
        <w:t>,</w:t>
      </w:r>
      <w:r>
        <w:rPr>
          <w:rFonts w:hint="eastAsia" w:ascii="仿宋_GB2312" w:hAnsi="Times New Roman" w:eastAsia="仿宋_GB2312"/>
          <w:sz w:val="32"/>
          <w:szCs w:val="32"/>
        </w:rPr>
        <w:t>依托一体化系统从预算资金使用效率、投入产出比、项目实施产生的社会效益、环境效益、经济效益等重要环节进行监督</w:t>
      </w:r>
      <w:r>
        <w:rPr>
          <w:rFonts w:ascii="仿宋_GB2312" w:hAnsi="Times New Roman" w:eastAsia="仿宋_GB2312"/>
          <w:sz w:val="32"/>
          <w:szCs w:val="32"/>
        </w:rPr>
        <w:t>,</w:t>
      </w:r>
      <w:r>
        <w:rPr>
          <w:rFonts w:hint="eastAsia" w:ascii="仿宋_GB2312" w:hAnsi="Times New Roman" w:eastAsia="仿宋_GB2312"/>
          <w:sz w:val="32"/>
          <w:szCs w:val="32"/>
        </w:rPr>
        <w:t>充分提高了预算资金的使用效益。</w:t>
      </w:r>
    </w:p>
    <w:p>
      <w:pPr>
        <w:spacing w:line="360" w:lineRule="auto"/>
        <w:ind w:firstLine="5440" w:firstLineChars="1700"/>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5"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EwNTM5NzYwMDRjMzkwZTVkZjY2ODkwMGIxNGU0OTUifQ=="/>
  </w:docVars>
  <w:rsids>
    <w:rsidRoot w:val="00E013E7"/>
    <w:rsid w:val="00176D47"/>
    <w:rsid w:val="00181D93"/>
    <w:rsid w:val="0019368F"/>
    <w:rsid w:val="001B3D92"/>
    <w:rsid w:val="001B7599"/>
    <w:rsid w:val="001D3785"/>
    <w:rsid w:val="00214DCF"/>
    <w:rsid w:val="0031148E"/>
    <w:rsid w:val="00317874"/>
    <w:rsid w:val="003712BB"/>
    <w:rsid w:val="0039477C"/>
    <w:rsid w:val="003B2F17"/>
    <w:rsid w:val="003C5BD8"/>
    <w:rsid w:val="0045237C"/>
    <w:rsid w:val="00496E37"/>
    <w:rsid w:val="004F4AAE"/>
    <w:rsid w:val="00500351"/>
    <w:rsid w:val="00557221"/>
    <w:rsid w:val="0057152E"/>
    <w:rsid w:val="00586042"/>
    <w:rsid w:val="00590631"/>
    <w:rsid w:val="005B7D36"/>
    <w:rsid w:val="005E2072"/>
    <w:rsid w:val="00696259"/>
    <w:rsid w:val="006B6608"/>
    <w:rsid w:val="00717715"/>
    <w:rsid w:val="00807D75"/>
    <w:rsid w:val="00826A41"/>
    <w:rsid w:val="008C6D21"/>
    <w:rsid w:val="008C7703"/>
    <w:rsid w:val="00932665"/>
    <w:rsid w:val="00937D96"/>
    <w:rsid w:val="00942CFF"/>
    <w:rsid w:val="00944211"/>
    <w:rsid w:val="00944DB6"/>
    <w:rsid w:val="00A33101"/>
    <w:rsid w:val="00C40825"/>
    <w:rsid w:val="00D73E85"/>
    <w:rsid w:val="00DC02FA"/>
    <w:rsid w:val="00E013E7"/>
    <w:rsid w:val="00E1120D"/>
    <w:rsid w:val="00ED74FF"/>
    <w:rsid w:val="00F60823"/>
    <w:rsid w:val="00FC4232"/>
    <w:rsid w:val="02D05560"/>
    <w:rsid w:val="0518526D"/>
    <w:rsid w:val="051C4A8C"/>
    <w:rsid w:val="08BF794D"/>
    <w:rsid w:val="09C64410"/>
    <w:rsid w:val="0A242E31"/>
    <w:rsid w:val="0ABE1CE7"/>
    <w:rsid w:val="0B04690C"/>
    <w:rsid w:val="0BBF6171"/>
    <w:rsid w:val="0BD47E6F"/>
    <w:rsid w:val="0E8409F1"/>
    <w:rsid w:val="0F5372FC"/>
    <w:rsid w:val="0FE86DDE"/>
    <w:rsid w:val="10944070"/>
    <w:rsid w:val="123956DC"/>
    <w:rsid w:val="132D5531"/>
    <w:rsid w:val="132D5C70"/>
    <w:rsid w:val="14643482"/>
    <w:rsid w:val="14BC1DE8"/>
    <w:rsid w:val="15582EE8"/>
    <w:rsid w:val="162419BE"/>
    <w:rsid w:val="16E15B36"/>
    <w:rsid w:val="17FE052C"/>
    <w:rsid w:val="181C1A30"/>
    <w:rsid w:val="1B326960"/>
    <w:rsid w:val="1C220EAA"/>
    <w:rsid w:val="1E81143E"/>
    <w:rsid w:val="1E9318D2"/>
    <w:rsid w:val="1F067090"/>
    <w:rsid w:val="23F73650"/>
    <w:rsid w:val="257769D2"/>
    <w:rsid w:val="257C40C8"/>
    <w:rsid w:val="25A35880"/>
    <w:rsid w:val="27272151"/>
    <w:rsid w:val="27B16E5E"/>
    <w:rsid w:val="286133E5"/>
    <w:rsid w:val="289463E4"/>
    <w:rsid w:val="28F214DC"/>
    <w:rsid w:val="294F38C5"/>
    <w:rsid w:val="29935664"/>
    <w:rsid w:val="2A9E64BF"/>
    <w:rsid w:val="2AEA0A59"/>
    <w:rsid w:val="2CF66EF2"/>
    <w:rsid w:val="2CFA059F"/>
    <w:rsid w:val="2D2059B0"/>
    <w:rsid w:val="2EC8145A"/>
    <w:rsid w:val="2EFB560D"/>
    <w:rsid w:val="2F502C6D"/>
    <w:rsid w:val="308819B0"/>
    <w:rsid w:val="308D4252"/>
    <w:rsid w:val="3127719B"/>
    <w:rsid w:val="321921D0"/>
    <w:rsid w:val="329B5526"/>
    <w:rsid w:val="364610BA"/>
    <w:rsid w:val="366652B8"/>
    <w:rsid w:val="37636FAB"/>
    <w:rsid w:val="39FB26C8"/>
    <w:rsid w:val="39FD591B"/>
    <w:rsid w:val="3A6C5593"/>
    <w:rsid w:val="3D194CF6"/>
    <w:rsid w:val="3E57313A"/>
    <w:rsid w:val="3E5C67BA"/>
    <w:rsid w:val="3FB672B0"/>
    <w:rsid w:val="40311978"/>
    <w:rsid w:val="41D719E3"/>
    <w:rsid w:val="42383D2D"/>
    <w:rsid w:val="42F114A1"/>
    <w:rsid w:val="431A1904"/>
    <w:rsid w:val="46270935"/>
    <w:rsid w:val="46761547"/>
    <w:rsid w:val="46AF21E6"/>
    <w:rsid w:val="46B84AC2"/>
    <w:rsid w:val="46F26E20"/>
    <w:rsid w:val="476A10AC"/>
    <w:rsid w:val="477C5972"/>
    <w:rsid w:val="4A7770F5"/>
    <w:rsid w:val="4C192D70"/>
    <w:rsid w:val="4C6065D9"/>
    <w:rsid w:val="4C7E7919"/>
    <w:rsid w:val="4D243827"/>
    <w:rsid w:val="4D37395C"/>
    <w:rsid w:val="4FC92C8C"/>
    <w:rsid w:val="52036F18"/>
    <w:rsid w:val="52132935"/>
    <w:rsid w:val="52E86C1C"/>
    <w:rsid w:val="52F43A32"/>
    <w:rsid w:val="53605111"/>
    <w:rsid w:val="53FB4AF4"/>
    <w:rsid w:val="56936B3D"/>
    <w:rsid w:val="5814758F"/>
    <w:rsid w:val="592F6BDD"/>
    <w:rsid w:val="5C4760D9"/>
    <w:rsid w:val="5D3B32C7"/>
    <w:rsid w:val="5E8F193F"/>
    <w:rsid w:val="5F294F51"/>
    <w:rsid w:val="5F6B6EBA"/>
    <w:rsid w:val="624837BF"/>
    <w:rsid w:val="63545128"/>
    <w:rsid w:val="656E7BE6"/>
    <w:rsid w:val="65DF2A5C"/>
    <w:rsid w:val="65FF1E7B"/>
    <w:rsid w:val="67A96C2F"/>
    <w:rsid w:val="67BA52E0"/>
    <w:rsid w:val="67C9107F"/>
    <w:rsid w:val="69D65CD5"/>
    <w:rsid w:val="6A0D62A2"/>
    <w:rsid w:val="6A1A7D6C"/>
    <w:rsid w:val="714A2DF8"/>
    <w:rsid w:val="727550E7"/>
    <w:rsid w:val="727A7B45"/>
    <w:rsid w:val="731079E0"/>
    <w:rsid w:val="7346328D"/>
    <w:rsid w:val="74F7040D"/>
    <w:rsid w:val="75504B8E"/>
    <w:rsid w:val="780662AA"/>
    <w:rsid w:val="785B21C7"/>
    <w:rsid w:val="787248BC"/>
    <w:rsid w:val="795B549A"/>
    <w:rsid w:val="7BD06595"/>
    <w:rsid w:val="7BEF5133"/>
    <w:rsid w:val="7C0F04F7"/>
    <w:rsid w:val="7D1F7C67"/>
    <w:rsid w:val="7F0909B2"/>
    <w:rsid w:val="7FEF7E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sdException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unhideWhenUsed="0" w:uiPriority="99"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name="Normal (Web)"/>
    <w:lsdException w:uiPriority="99" w:name="HTML Acronym" w:locked="1"/>
    <w:lsdException w:uiPriority="99" w:name="HTML Address" w:locked="1"/>
    <w:lsdException w:unhideWhenUsed="0" w:uiPriority="99" w:name="HTML Cite"/>
    <w:lsdException w:unhideWhenUsed="0" w:uiPriority="99" w:name="HTML Code"/>
    <w:lsdException w:unhideWhenUsed="0" w:uiPriority="99" w:name="HTML Definition"/>
    <w:lsdException w:uiPriority="99" w:name="HTML Keyboard" w:locked="1"/>
    <w:lsdException w:uiPriority="99" w:name="HTML Preformatted" w:locked="1"/>
    <w:lsdException w:uiPriority="99" w:name="HTML Sample" w:locked="1"/>
    <w:lsdException w:uiPriority="99" w:name="HTML Typewriter" w:locked="1"/>
    <w:lsdException w:unhideWhenUsed="0" w:uiPriority="99"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iPriority w:val="99"/>
    <w:rPr>
      <w:sz w:val="32"/>
      <w:szCs w:val="18"/>
    </w:rPr>
  </w:style>
  <w:style w:type="paragraph" w:styleId="3">
    <w:name w:val="footer"/>
    <w:basedOn w:val="1"/>
    <w:link w:val="17"/>
    <w:semiHidden/>
    <w:uiPriority w:val="99"/>
    <w:pPr>
      <w:tabs>
        <w:tab w:val="center" w:pos="4153"/>
        <w:tab w:val="right" w:pos="8306"/>
      </w:tabs>
      <w:snapToGrid w:val="0"/>
      <w:jc w:val="left"/>
    </w:pPr>
    <w:rPr>
      <w:sz w:val="18"/>
    </w:rPr>
  </w:style>
  <w:style w:type="paragraph" w:styleId="4">
    <w:name w:val="header"/>
    <w:basedOn w:val="1"/>
    <w:link w:val="18"/>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iPriority w:val="99"/>
    <w:pPr>
      <w:jc w:val="left"/>
    </w:pPr>
    <w:rPr>
      <w:kern w:val="0"/>
      <w:sz w:val="24"/>
    </w:rPr>
  </w:style>
  <w:style w:type="character" w:styleId="8">
    <w:name w:val="Strong"/>
    <w:basedOn w:val="7"/>
    <w:qFormat/>
    <w:uiPriority w:val="99"/>
    <w:rPr>
      <w:rFonts w:cs="Times New Roman"/>
      <w:b/>
    </w:rPr>
  </w:style>
  <w:style w:type="character" w:styleId="9">
    <w:name w:val="FollowedHyperlink"/>
    <w:basedOn w:val="7"/>
    <w:semiHidden/>
    <w:uiPriority w:val="99"/>
    <w:rPr>
      <w:rFonts w:cs="Times New Roman"/>
      <w:color w:val="000000"/>
      <w:u w:val="none"/>
    </w:rPr>
  </w:style>
  <w:style w:type="character" w:styleId="10">
    <w:name w:val="Emphasis"/>
    <w:basedOn w:val="7"/>
    <w:qFormat/>
    <w:uiPriority w:val="99"/>
    <w:rPr>
      <w:rFonts w:cs="Times New Roman"/>
    </w:rPr>
  </w:style>
  <w:style w:type="character" w:styleId="11">
    <w:name w:val="HTML Definition"/>
    <w:basedOn w:val="7"/>
    <w:semiHidden/>
    <w:uiPriority w:val="99"/>
    <w:rPr>
      <w:rFonts w:cs="Times New Roman"/>
    </w:rPr>
  </w:style>
  <w:style w:type="character" w:styleId="12">
    <w:name w:val="HTML Variable"/>
    <w:basedOn w:val="7"/>
    <w:semiHidden/>
    <w:uiPriority w:val="99"/>
    <w:rPr>
      <w:rFonts w:cs="Times New Roman"/>
    </w:rPr>
  </w:style>
  <w:style w:type="character" w:styleId="13">
    <w:name w:val="Hyperlink"/>
    <w:basedOn w:val="7"/>
    <w:semiHidden/>
    <w:uiPriority w:val="99"/>
    <w:rPr>
      <w:rFonts w:cs="Times New Roman"/>
      <w:color w:val="000000"/>
      <w:u w:val="none"/>
    </w:rPr>
  </w:style>
  <w:style w:type="character" w:styleId="14">
    <w:name w:val="HTML Code"/>
    <w:basedOn w:val="7"/>
    <w:semiHidden/>
    <w:uiPriority w:val="99"/>
    <w:rPr>
      <w:rFonts w:ascii="Courier New" w:hAnsi="Courier New" w:cs="Times New Roman"/>
      <w:sz w:val="20"/>
    </w:rPr>
  </w:style>
  <w:style w:type="character" w:styleId="15">
    <w:name w:val="HTML Cite"/>
    <w:basedOn w:val="7"/>
    <w:semiHidden/>
    <w:uiPriority w:val="99"/>
    <w:rPr>
      <w:rFonts w:cs="Times New Roman"/>
    </w:rPr>
  </w:style>
  <w:style w:type="character" w:customStyle="1" w:styleId="16">
    <w:name w:val="Balloon Text Char"/>
    <w:basedOn w:val="7"/>
    <w:link w:val="2"/>
    <w:semiHidden/>
    <w:locked/>
    <w:uiPriority w:val="99"/>
    <w:rPr>
      <w:rFonts w:ascii="Calibri" w:hAnsi="Calibri" w:cs="Times New Roman"/>
      <w:sz w:val="2"/>
    </w:rPr>
  </w:style>
  <w:style w:type="character" w:customStyle="1" w:styleId="17">
    <w:name w:val="Footer Char"/>
    <w:basedOn w:val="7"/>
    <w:link w:val="3"/>
    <w:semiHidden/>
    <w:locked/>
    <w:uiPriority w:val="99"/>
    <w:rPr>
      <w:rFonts w:ascii="Calibri" w:hAnsi="Calibri" w:cs="Times New Roman"/>
      <w:sz w:val="18"/>
      <w:szCs w:val="18"/>
    </w:rPr>
  </w:style>
  <w:style w:type="character" w:customStyle="1" w:styleId="18">
    <w:name w:val="Header Char"/>
    <w:basedOn w:val="7"/>
    <w:link w:val="4"/>
    <w:semiHidden/>
    <w:locked/>
    <w:uiPriority w:val="99"/>
    <w:rPr>
      <w:rFonts w:ascii="Calibri" w:hAnsi="Calibri" w:cs="Times New Roman"/>
      <w:sz w:val="18"/>
      <w:szCs w:val="18"/>
    </w:rPr>
  </w:style>
  <w:style w:type="paragraph" w:styleId="19">
    <w:name w:val="List Paragraph"/>
    <w:basedOn w:val="1"/>
    <w:qFormat/>
    <w:uiPriority w:val="99"/>
    <w:pPr>
      <w:ind w:firstLine="420" w:firstLineChars="200"/>
    </w:pPr>
  </w:style>
  <w:style w:type="character" w:customStyle="1" w:styleId="20">
    <w:name w:val="layui-this"/>
    <w:basedOn w:val="7"/>
    <w:uiPriority w:val="99"/>
    <w:rPr>
      <w:rFonts w:cs="Times New Roman"/>
      <w:bdr w:val="single" w:color="EEEEEE" w:sz="6" w:space="0"/>
      <w:shd w:val="clear" w:color="auto" w:fill="FFFFFF"/>
    </w:rPr>
  </w:style>
  <w:style w:type="character" w:customStyle="1" w:styleId="21">
    <w:name w:val="first-child"/>
    <w:basedOn w:val="7"/>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220</Words>
  <Characters>1259</Characters>
  <Lines>0</Lines>
  <Paragraphs>0</Paragraphs>
  <TotalTime>40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2023-09-14T08:35:00Z</dcterms:created>
  <dc:creator>Administrator</dc:creator>
  <cp:lastModifiedBy>弓藏马野</cp:lastModifiedBy>
  <cp:lastPrinted>2023-02-17T02:29:00Z</cp:lastPrinted>
  <dcterms:modified xsi:type="dcterms:W3CDTF">2023-09-01T01:56:33Z</dcterms:modified>
  <dc:title>长春市二道区2022年预算绩效管理工作</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BFEA5B0F9B844BCBB90F544F5F3DE218</vt:lpwstr>
  </property>
</Properties>
</file>