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Arial"/>
          <w:sz w:val="40"/>
          <w:szCs w:val="40"/>
        </w:rPr>
      </w:pPr>
    </w:p>
    <w:p>
      <w:pPr>
        <w:jc w:val="center"/>
        <w:rPr>
          <w:rFonts w:hint="eastAsia" w:ascii="Arial" w:hAnsi="Arial" w:eastAsia="方正小标宋简体" w:cs="Arial"/>
          <w:sz w:val="40"/>
          <w:szCs w:val="40"/>
          <w:lang w:val="en-US" w:eastAsia="zh-CN"/>
        </w:rPr>
      </w:pPr>
      <w:r>
        <w:rPr>
          <w:rFonts w:hint="eastAsia" w:ascii="Arial" w:hAnsi="Arial" w:eastAsia="方正小标宋简体" w:cs="Arial"/>
          <w:sz w:val="40"/>
          <w:szCs w:val="40"/>
          <w:lang w:val="en-US" w:eastAsia="zh-CN"/>
        </w:rPr>
        <w:t xml:space="preserve"> </w:t>
      </w:r>
      <w:bookmarkStart w:id="0" w:name="_GoBack"/>
      <w:bookmarkEnd w:id="0"/>
    </w:p>
    <w:p>
      <w:pPr>
        <w:jc w:val="center"/>
        <w:rPr>
          <w:rFonts w:ascii="Arial" w:hAnsi="Arial" w:eastAsia="方正小标宋简体" w:cs="Arial"/>
          <w:sz w:val="40"/>
          <w:szCs w:val="40"/>
        </w:rPr>
      </w:pPr>
    </w:p>
    <w:p>
      <w:pPr>
        <w:jc w:val="center"/>
        <w:rPr>
          <w:rFonts w:ascii="Arial" w:hAnsi="Arial" w:eastAsia="方正小标宋简体" w:cs="Arial"/>
          <w:sz w:val="40"/>
          <w:szCs w:val="40"/>
        </w:rPr>
      </w:pPr>
    </w:p>
    <w:p>
      <w:pPr>
        <w:jc w:val="center"/>
        <w:rPr>
          <w:rFonts w:hint="eastAsia" w:ascii="Arial" w:hAnsi="Arial" w:eastAsia="方正小标宋简体" w:cs="方正小标宋简体"/>
          <w:sz w:val="40"/>
          <w:szCs w:val="40"/>
          <w:lang w:eastAsia="zh-CN"/>
        </w:rPr>
      </w:pPr>
      <w:r>
        <w:rPr>
          <w:rFonts w:ascii="Arial" w:hAnsi="Arial" w:eastAsia="方正小标宋简体" w:cs="Arial"/>
          <w:sz w:val="40"/>
          <w:szCs w:val="40"/>
        </w:rPr>
        <w:t>20</w:t>
      </w:r>
      <w:r>
        <w:rPr>
          <w:rFonts w:hint="eastAsia" w:ascii="Arial" w:hAnsi="Arial" w:eastAsia="方正小标宋简体" w:cs="Arial"/>
          <w:sz w:val="40"/>
          <w:szCs w:val="40"/>
          <w:lang w:val="en-US" w:eastAsia="zh-CN"/>
        </w:rPr>
        <w:t>22</w:t>
      </w:r>
      <w:r>
        <w:rPr>
          <w:rFonts w:hint="eastAsia" w:ascii="Arial" w:hAnsi="Arial" w:eastAsia="方正小标宋简体" w:cs="方正小标宋简体"/>
          <w:sz w:val="40"/>
          <w:szCs w:val="40"/>
        </w:rPr>
        <w:t>年长春市</w:t>
      </w:r>
      <w:r>
        <w:rPr>
          <w:rFonts w:hint="eastAsia" w:ascii="Arial" w:hAnsi="Arial" w:eastAsia="方正小标宋简体" w:cs="方正小标宋简体"/>
          <w:sz w:val="40"/>
          <w:szCs w:val="40"/>
          <w:lang w:eastAsia="zh-CN"/>
        </w:rPr>
        <w:t>二道区</w:t>
      </w:r>
      <w:r>
        <w:rPr>
          <w:rFonts w:hint="eastAsia" w:ascii="Arial" w:hAnsi="Arial" w:eastAsia="方正小标宋简体" w:cs="方正小标宋简体"/>
          <w:sz w:val="40"/>
          <w:szCs w:val="40"/>
          <w:lang w:val="en-US" w:eastAsia="zh-CN"/>
        </w:rPr>
        <w:t>长青社区卫生服务中心</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hint="eastAsia" w:ascii="Arial" w:hAnsi="Arial" w:eastAsia="方正小标宋简体" w:cs="Times New Roman"/>
          <w:sz w:val="44"/>
          <w:szCs w:val="44"/>
          <w:lang w:val="en-US" w:eastAsia="zh-CN"/>
        </w:rPr>
      </w:pPr>
      <w:r>
        <w:rPr>
          <w:rFonts w:hint="eastAsia" w:ascii="Arial" w:hAnsi="Arial" w:eastAsia="方正小标宋简体" w:cs="Times New Roman"/>
          <w:sz w:val="44"/>
          <w:szCs w:val="44"/>
          <w:lang w:val="en-US" w:eastAsia="zh-CN"/>
        </w:rPr>
        <w:t xml:space="preserve">  </w:t>
      </w:r>
    </w:p>
    <w:p>
      <w:pPr>
        <w:jc w:val="center"/>
        <w:rPr>
          <w:rFonts w:hint="eastAsia" w:ascii="Arial" w:hAnsi="Arial" w:eastAsia="方正小标宋简体" w:cs="Times New Roman"/>
          <w:sz w:val="44"/>
          <w:szCs w:val="44"/>
          <w:lang w:val="en-US" w:eastAsia="zh-CN"/>
        </w:rPr>
      </w:pPr>
    </w:p>
    <w:p>
      <w:pPr>
        <w:spacing w:line="540" w:lineRule="exact"/>
        <w:jc w:val="center"/>
        <w:outlineLvl w:val="1"/>
        <w:rPr>
          <w:rFonts w:ascii="方正小标宋简体" w:hAnsi="方正小标宋简体" w:eastAsia="方正小标宋简体" w:cs="Times New Roman"/>
          <w:sz w:val="44"/>
          <w:szCs w:val="44"/>
        </w:rPr>
      </w:pPr>
      <w:r>
        <w:rPr>
          <w:rFonts w:hint="eastAsia" w:ascii="方正小标宋简体" w:eastAsia="方正小标宋简体" w:cs="Times New Roman"/>
          <w:sz w:val="44"/>
          <w:szCs w:val="44"/>
          <w:lang w:val="en-US" w:eastAsia="zh-CN"/>
        </w:rPr>
        <w:t xml:space="preserve">2022年1月4日 </w:t>
      </w: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lang w:val="en-US" w:eastAsia="zh-CN"/>
        </w:rPr>
        <w:t>22</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val="en-US" w:eastAsia="zh-CN"/>
        </w:rPr>
        <w:t>2022</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九、国有资产占用情况</w:t>
      </w:r>
    </w:p>
    <w:p>
      <w:pPr>
        <w:spacing w:line="540" w:lineRule="exact"/>
        <w:rPr>
          <w:rFonts w:ascii="宋体" w:cs="Times New Roman"/>
          <w:color w:val="3E3E3E"/>
          <w:kern w:val="0"/>
          <w:sz w:val="18"/>
          <w:szCs w:val="18"/>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lang w:val="en-US" w:eastAsia="zh-CN"/>
        </w:rPr>
        <w:t>1.1.1</w:t>
      </w:r>
      <w:r>
        <w:rPr>
          <w:rFonts w:hint="eastAsia" w:ascii="宋体" w:hAnsi="宋体" w:cs="宋体"/>
          <w:color w:val="3E3E3E"/>
          <w:kern w:val="0"/>
          <w:sz w:val="32"/>
          <w:szCs w:val="32"/>
        </w:rPr>
        <w:t>提供国家基本公共卫生服务</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(1)承担农村居民健康档案规范建档指导、管理及服务。</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(2)普及卫生保健常识，在重点人群和重点场所开展健康教育，帮助居民形成有利于维护和增进健康的行为方式。</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(3)提供并组织实施辖区预防接种服务，落实国家免疫规</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划。</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(4)及时发现、登记并报告辖区内发现的传染病病例和疑似病例，参与现场疫情处理。</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(5)开展新生儿访视及儿童保健系统管理，进行体格检查和生长发育监测及评价，开展健康指导。</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lang w:eastAsia="zh-CN"/>
        </w:rPr>
        <w:t>（</w:t>
      </w:r>
      <w:r>
        <w:rPr>
          <w:rFonts w:hint="eastAsia" w:ascii="宋体" w:hAnsi="宋体" w:cs="宋体"/>
          <w:color w:val="3E3E3E"/>
          <w:kern w:val="0"/>
          <w:sz w:val="32"/>
          <w:szCs w:val="32"/>
          <w:lang w:val="en-US" w:eastAsia="zh-CN"/>
        </w:rPr>
        <w:t>6</w:t>
      </w:r>
      <w:r>
        <w:rPr>
          <w:rFonts w:hint="eastAsia" w:ascii="宋体" w:hAnsi="宋体" w:cs="宋体"/>
          <w:color w:val="3E3E3E"/>
          <w:kern w:val="0"/>
          <w:sz w:val="32"/>
          <w:szCs w:val="32"/>
          <w:lang w:eastAsia="zh-CN"/>
        </w:rPr>
        <w:t>）</w:t>
      </w:r>
      <w:r>
        <w:rPr>
          <w:rFonts w:hint="eastAsia" w:ascii="宋体" w:hAnsi="宋体" w:cs="宋体"/>
          <w:color w:val="3E3E3E"/>
          <w:kern w:val="0"/>
          <w:sz w:val="32"/>
          <w:szCs w:val="32"/>
        </w:rPr>
        <w:t>开展孕产妇保健系统管理和产后访视，进行一般体检查及孕期营养、心理等健康指导。</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(7)对辖区65岁及以上老年人进行登记管理，进行健康危险因素调查和一般体格检查，开展健康指导。</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(8)对高血压、糖尿病等慢性病高危人群进行指导，对确诊高血压、糖尿病等慢性病病例进行登记管理、定期随访和健康指导。</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(9)对辖区重型精神疾病患者进行登记管理、治疗随访和</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康复指导。</w:t>
      </w:r>
    </w:p>
    <w:p>
      <w:pPr>
        <w:widowControl/>
        <w:numPr>
          <w:ilvl w:val="0"/>
          <w:numId w:val="1"/>
        </w:numPr>
        <w:spacing w:before="100" w:beforeAutospacing="1" w:after="100" w:afterAutospacing="1" w:line="360" w:lineRule="auto"/>
        <w:ind w:left="730" w:leftChars="304" w:hanging="92" w:hangingChars="29"/>
        <w:jc w:val="left"/>
        <w:rPr>
          <w:rFonts w:hint="eastAsia" w:ascii="宋体" w:hAnsi="宋体" w:cs="宋体"/>
          <w:color w:val="3E3E3E"/>
          <w:kern w:val="0"/>
          <w:sz w:val="32"/>
          <w:szCs w:val="32"/>
        </w:rPr>
      </w:pPr>
      <w:r>
        <w:rPr>
          <w:rFonts w:hint="eastAsia" w:ascii="宋体" w:hAnsi="宋体" w:cs="宋体"/>
          <w:color w:val="3E3E3E"/>
          <w:kern w:val="0"/>
          <w:sz w:val="32"/>
          <w:szCs w:val="32"/>
        </w:rPr>
        <w:t>负责辖区内突发公共卫生事件的报告并协助处</w:t>
      </w:r>
    </w:p>
    <w:p>
      <w:pPr>
        <w:widowControl/>
        <w:numPr>
          <w:ilvl w:val="0"/>
          <w:numId w:val="1"/>
        </w:numPr>
        <w:spacing w:before="100" w:beforeAutospacing="1" w:after="100" w:afterAutospacing="1" w:line="360" w:lineRule="auto"/>
        <w:ind w:left="730" w:leftChars="304" w:hanging="92" w:hangingChars="29"/>
        <w:jc w:val="left"/>
        <w:rPr>
          <w:rFonts w:hint="eastAsia" w:ascii="宋体" w:hAnsi="宋体" w:cs="宋体"/>
          <w:color w:val="3E3E3E"/>
          <w:kern w:val="0"/>
          <w:sz w:val="32"/>
          <w:szCs w:val="32"/>
        </w:rPr>
      </w:pPr>
      <w:r>
        <w:rPr>
          <w:rFonts w:hint="eastAsia" w:ascii="宋体" w:hAnsi="宋体" w:cs="宋体"/>
          <w:color w:val="3E3E3E"/>
          <w:kern w:val="0"/>
          <w:sz w:val="32"/>
          <w:szCs w:val="32"/>
        </w:rPr>
        <w:t>做好卫生行政部门规定的其他公共卫生服务。</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1.</w:t>
      </w:r>
      <w:r>
        <w:rPr>
          <w:rFonts w:hint="eastAsia" w:ascii="宋体" w:hAnsi="宋体" w:cs="宋体"/>
          <w:color w:val="3E3E3E"/>
          <w:kern w:val="0"/>
          <w:sz w:val="32"/>
          <w:szCs w:val="32"/>
          <w:lang w:val="en-US" w:eastAsia="zh-CN"/>
        </w:rPr>
        <w:t>1</w:t>
      </w:r>
      <w:r>
        <w:rPr>
          <w:rFonts w:hint="eastAsia" w:ascii="宋体" w:hAnsi="宋体" w:cs="宋体"/>
          <w:color w:val="3E3E3E"/>
          <w:kern w:val="0"/>
          <w:sz w:val="32"/>
          <w:szCs w:val="32"/>
        </w:rPr>
        <w:t>.2提供基本医疗服务</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(1)使用中、西医医疗技术，正确处理常见病、多发病，对疑难重症进行恰当的处理并转诊。承担乡村现场应急救护、转诊服务和康复服务。</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(2)具备处理孕妇检查能力，能完成外科的止血、缝合、包扎等处置。</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(3)健全消毒、隔离制度，遵守无菌操作规程，加强医疗质量管理。做好医疗废物处理和污水、污物无害化处理。</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(4)执行国家基本药物制度药品集中采购、零差率销售等政策，为实施一体化管理的村卫生室统一代购药品。</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(5)提供政府卫生行政部门批准的其他适宜的医疗服务。1.</w:t>
      </w:r>
      <w:r>
        <w:rPr>
          <w:rFonts w:hint="eastAsia" w:ascii="宋体" w:hAnsi="宋体" w:cs="宋体"/>
          <w:color w:val="3E3E3E"/>
          <w:kern w:val="0"/>
          <w:sz w:val="32"/>
          <w:szCs w:val="32"/>
          <w:lang w:val="en-US" w:eastAsia="zh-CN"/>
        </w:rPr>
        <w:t>1.3</w:t>
      </w:r>
      <w:r>
        <w:rPr>
          <w:rFonts w:hint="eastAsia" w:ascii="宋体" w:hAnsi="宋体" w:cs="宋体"/>
          <w:color w:val="3E3E3E"/>
          <w:kern w:val="0"/>
          <w:sz w:val="32"/>
          <w:szCs w:val="32"/>
        </w:rPr>
        <w:t>承担国家基本公共卫生管理</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(1)对辖区内传染病防治、学校卫生、饮水卫生、职业卫生，以及村级预防保健工作进行指导、培训、考核。</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(2)严格执行新型农村合作医疗政策规定，履行定点医疗机构职责，做好有关的政策宣传、监督及服务工作。</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r>
        <w:rPr>
          <w:rFonts w:hint="eastAsia" w:ascii="宋体" w:hAnsi="宋体" w:cs="宋体"/>
          <w:color w:val="3E3E3E"/>
          <w:kern w:val="0"/>
          <w:sz w:val="32"/>
          <w:szCs w:val="32"/>
        </w:rPr>
        <w:t>(3)深入推进乡村卫生服务一体化管理，对村卫生室实行以行政、人员、业务、药品、财产为基本内容的“五统一”规范管理;负责村卫生室的技术指导和乡村医生培训等工作。</w:t>
      </w:r>
    </w:p>
    <w:p>
      <w:pPr>
        <w:widowControl/>
        <w:spacing w:before="100" w:beforeAutospacing="1" w:after="100" w:afterAutospacing="1" w:line="360" w:lineRule="auto"/>
        <w:ind w:firstLine="360"/>
        <w:jc w:val="left"/>
        <w:rPr>
          <w:rFonts w:hint="eastAsia" w:ascii="宋体" w:hAnsi="宋体" w:cs="宋体"/>
          <w:color w:val="3E3E3E"/>
          <w:kern w:val="0"/>
          <w:sz w:val="32"/>
          <w:szCs w:val="32"/>
        </w:rPr>
      </w:pPr>
    </w:p>
    <w:p>
      <w:pPr>
        <w:widowControl/>
        <w:spacing w:before="100" w:beforeAutospacing="1" w:after="100" w:afterAutospacing="1" w:line="360" w:lineRule="auto"/>
        <w:ind w:firstLine="360"/>
        <w:jc w:val="left"/>
        <w:rPr>
          <w:rFonts w:ascii="宋体" w:cs="Times New Roman"/>
          <w:color w:val="3E3E3E"/>
          <w:kern w:val="0"/>
          <w:sz w:val="32"/>
          <w:szCs w:val="32"/>
        </w:rPr>
      </w:pPr>
    </w:p>
    <w:tbl>
      <w:tblPr>
        <w:tblStyle w:val="5"/>
        <w:tblW w:w="7215" w:type="dxa"/>
        <w:jc w:val="center"/>
        <w:tblCellSpacing w:w="0" w:type="dxa"/>
        <w:tblLayout w:type="fixed"/>
        <w:tblCellMar>
          <w:top w:w="0" w:type="dxa"/>
          <w:left w:w="0" w:type="dxa"/>
          <w:bottom w:w="0" w:type="dxa"/>
          <w:right w:w="0" w:type="dxa"/>
        </w:tblCellMar>
      </w:tblPr>
      <w:tblGrid>
        <w:gridCol w:w="7215"/>
      </w:tblGrid>
      <w:tr>
        <w:tblPrEx>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after="380"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二、内设机构</w:t>
            </w:r>
          </w:p>
        </w:tc>
      </w:tr>
      <w:tr>
        <w:tblPrEx>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before="240" w:after="240" w:line="360" w:lineRule="auto"/>
              <w:jc w:val="left"/>
              <w:rPr>
                <w:rFonts w:ascii="宋体" w:cs="Times New Roman"/>
                <w:color w:val="3E3E3E"/>
                <w:kern w:val="0"/>
                <w:sz w:val="32"/>
                <w:szCs w:val="32"/>
              </w:rPr>
            </w:pPr>
            <w:r>
              <w:rPr>
                <w:rFonts w:hint="eastAsia" w:ascii="宋体" w:hAnsi="宋体" w:cs="宋体"/>
                <w:color w:val="3E3E3E"/>
                <w:kern w:val="0"/>
                <w:sz w:val="32"/>
                <w:szCs w:val="32"/>
              </w:rPr>
              <w:t>（一）办公室</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lang w:eastAsia="zh-CN"/>
              </w:rPr>
              <w:t>（</w:t>
            </w:r>
            <w:r>
              <w:rPr>
                <w:rFonts w:hint="eastAsia" w:ascii="宋体" w:hAnsi="宋体" w:cs="宋体"/>
                <w:color w:val="3E3E3E"/>
                <w:kern w:val="0"/>
                <w:sz w:val="32"/>
                <w:szCs w:val="32"/>
                <w:lang w:val="en-US" w:eastAsia="zh-CN"/>
              </w:rPr>
              <w:t>1</w:t>
            </w:r>
            <w:r>
              <w:rPr>
                <w:rFonts w:hint="eastAsia" w:ascii="宋体" w:hAnsi="宋体" w:cs="宋体"/>
                <w:color w:val="3E3E3E"/>
                <w:kern w:val="0"/>
                <w:sz w:val="32"/>
                <w:szCs w:val="32"/>
                <w:lang w:eastAsia="zh-CN"/>
              </w:rPr>
              <w:t>）</w:t>
            </w:r>
            <w:r>
              <w:rPr>
                <w:rFonts w:hint="eastAsia" w:ascii="宋体" w:hAnsi="宋体" w:cs="宋体"/>
                <w:color w:val="3E3E3E"/>
                <w:kern w:val="0"/>
                <w:sz w:val="32"/>
                <w:szCs w:val="32"/>
              </w:rPr>
              <w:t>协助院长处理日常政务、事务性工作，负责做好与上级各主管部门间的工作协调。</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(2)负责组织本室员工的政治、业务学习，贯彻执行党的路线方针政策和本单位的各项规章制度，协调各科室之间的工作关系。</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(3)检查落实单位内各项规章制度的执行情况，对出现的问题负责协调并提出解决办法和处理意见。</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(4)负责行政管理、用车管理、后勤管理等工作。(5)负责公文函件的上报、下达批转和处理等事宜。(6)负责协助固定资产的管理工作。(7)负责防火、防盗、安全管理工作。</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(8)负责各种大型活动及会议的组织筹备工作。(9)负责日常维修及大宗基建修缮工作。</w:t>
            </w:r>
          </w:p>
          <w:p>
            <w:pPr>
              <w:widowControl/>
              <w:spacing w:before="100" w:beforeAutospacing="1" w:after="100" w:afterAutospacing="1" w:line="360" w:lineRule="auto"/>
              <w:jc w:val="left"/>
              <w:rPr>
                <w:rFonts w:hint="eastAsia" w:ascii="宋体" w:hAnsi="宋体" w:cs="宋体"/>
                <w:color w:val="3E3E3E"/>
                <w:kern w:val="0"/>
                <w:sz w:val="32"/>
                <w:szCs w:val="32"/>
                <w:lang w:eastAsia="zh-CN"/>
              </w:rPr>
            </w:pPr>
            <w:r>
              <w:rPr>
                <w:rFonts w:hint="eastAsia" w:ascii="宋体" w:hAnsi="宋体" w:cs="宋体"/>
                <w:color w:val="3E3E3E"/>
                <w:kern w:val="0"/>
                <w:sz w:val="32"/>
                <w:szCs w:val="32"/>
                <w:lang w:eastAsia="zh-CN"/>
              </w:rPr>
              <w:t>（二）财务科</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(1)认真贯彻执行《会计法》，维护财经纪律，加强财务告理，搞好会计核算。</w:t>
            </w:r>
          </w:p>
          <w:p>
            <w:pPr>
              <w:widowControl/>
              <w:spacing w:before="100" w:beforeAutospacing="1" w:after="100" w:afterAutospacing="1" w:line="360" w:lineRule="auto"/>
              <w:jc w:val="left"/>
              <w:rPr>
                <w:rFonts w:hint="eastAsia" w:ascii="宋体" w:hAnsi="宋体" w:eastAsia="宋体" w:cs="宋体"/>
                <w:color w:val="3E3E3E"/>
                <w:kern w:val="0"/>
                <w:sz w:val="32"/>
                <w:szCs w:val="32"/>
                <w:lang w:val="en-US" w:eastAsia="zh-CN"/>
              </w:rPr>
            </w:pPr>
            <w:r>
              <w:rPr>
                <w:rFonts w:hint="eastAsia" w:ascii="宋体" w:hAnsi="宋体" w:cs="宋体"/>
                <w:color w:val="3E3E3E"/>
                <w:kern w:val="0"/>
                <w:sz w:val="32"/>
                <w:szCs w:val="32"/>
              </w:rPr>
              <w:t>(2)管理本位经费、医疗收支以及其专项业务经费制定本部门的财务管理办法和实施细则，并组织实施。编报部门预算，审查核定年度预算，做好相关资金的综合统筹平衡工作</w:t>
            </w:r>
            <w:r>
              <w:rPr>
                <w:rFonts w:hint="eastAsia" w:ascii="宋体" w:hAnsi="宋体" w:cs="宋体"/>
                <w:color w:val="3E3E3E"/>
                <w:kern w:val="0"/>
                <w:sz w:val="32"/>
                <w:szCs w:val="32"/>
                <w:lang w:eastAsia="zh-CN"/>
              </w:rPr>
              <w:t>。</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(3)按照《会计法》的要求，认真做好会计核算，做到手续完备、内容真实、数字准确、账目清楚;日清月结，按期报账。</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(4)按照相关制度规定，严格执行财务计划和预算，节约开支，考核资金使用效果，充分利用财务数据，客观真实的对预算执行情况、财务报表数据进行分析，及时为领导提供准确数据。</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(5)负责债权、债务工作，加强固定资产管理，维护国家财产的安全、完整。</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(6)按照会计档案管理制度，负责记账凭证、账簿、报表等会计资料的立卷、建档工作。</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(7)负责医疗业务收费票据的领购、分发、缴销等工作。</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(8)负责本单位所属各科室、村卫生所和长青卫生服务站经费申请报告和政府采购手续的审查、监督和呈报工作。</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(9)组织本单位及系统财务人员，学习国家财政法规制度和现代化财务管理，做好本院财务公开，接受社会监督。</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(10)接受并配合审计、财政、卫计等部门的监督检查。</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（三）医务科</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(1)在院长及分管院领导的领导下，根据国家法律、政策及医院发展规划相关管理制度具体组织实施医疗工作，实施医疗加并指业务管理。</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(2)拟定全院医疗业务发展规划，工作计划，报院领导批准后，认真组织实施，定期督促检查，及时总结分析。</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w:t>
            </w:r>
            <w:r>
              <w:rPr>
                <w:rFonts w:hint="eastAsia" w:ascii="宋体" w:cs="Times New Roman"/>
                <w:color w:val="3E3E3E"/>
                <w:kern w:val="0"/>
                <w:sz w:val="32"/>
                <w:szCs w:val="32"/>
                <w:lang w:val="en-US" w:eastAsia="zh-CN"/>
              </w:rPr>
              <w:t>3</w:t>
            </w:r>
            <w:r>
              <w:rPr>
                <w:rFonts w:hint="eastAsia" w:ascii="宋体" w:cs="Times New Roman"/>
                <w:color w:val="3E3E3E"/>
                <w:kern w:val="0"/>
                <w:sz w:val="32"/>
                <w:szCs w:val="32"/>
                <w:lang w:eastAsia="zh-CN"/>
              </w:rPr>
              <w:t xml:space="preserve">）定期或不定期深入临床科室督促、检查医疗法规、制 操作 度，规章执行情况，规范医疗行为，采取有效措施，提高医疗质量，保证医疗安全。 </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(4)负责组织院内外抢救，负责安排对医疗业务技术指导工作。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(5)督促临床安全用药，督促药品、器械的供应、使用，经常检查确保质量。</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(6)负责对医疗事故争论进行调查处理，负责接待病员方的来信来访及医疗咨询。</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(7)协调全院临床科室中的医疗问题。</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(8)协助职工培训部，加强对医务人员的三基培训及技术考核工作。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(9)负责接待病员、律师、公检法等对医疗文件资料的查阅、复印工作。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(10)完成上级部门及院领导安排的其他工作。</w:t>
            </w:r>
          </w:p>
          <w:p>
            <w:pPr>
              <w:widowControl/>
              <w:spacing w:before="100" w:beforeAutospacing="1" w:after="100" w:afterAutospacing="1" w:line="360" w:lineRule="auto"/>
              <w:jc w:val="left"/>
              <w:rPr>
                <w:rFonts w:hint="eastAsia" w:ascii="宋体" w:cs="Times New Roman"/>
                <w:color w:val="3E3E3E"/>
                <w:kern w:val="0"/>
                <w:sz w:val="32"/>
                <w:szCs w:val="32"/>
                <w:lang w:val="en-US" w:eastAsia="zh-CN"/>
              </w:rPr>
            </w:pPr>
            <w:r>
              <w:rPr>
                <w:rFonts w:hint="eastAsia" w:ascii="宋体" w:cs="Times New Roman"/>
                <w:color w:val="3E3E3E"/>
                <w:kern w:val="0"/>
                <w:sz w:val="32"/>
                <w:szCs w:val="32"/>
                <w:lang w:val="en-US" w:eastAsia="zh-CN"/>
              </w:rPr>
              <w:t>(四)人事科</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(1)指导、督促本科室工作人员做好工资管理、各类报表、职称薪级等级评定及人事档案管理等工作。</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(2)与上级人社部门沟通、协调。</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eastAsia" w:ascii="宋体" w:cs="Times New Roman"/>
                <w:color w:val="3E3E3E"/>
                <w:kern w:val="0"/>
                <w:sz w:val="32"/>
                <w:szCs w:val="32"/>
                <w:lang w:val="en-US" w:eastAsia="zh-CN"/>
              </w:rPr>
              <w:t>（3）</w:t>
            </w:r>
            <w:r>
              <w:rPr>
                <w:rFonts w:hint="default" w:ascii="宋体" w:cs="Times New Roman"/>
                <w:color w:val="3E3E3E"/>
                <w:kern w:val="0"/>
                <w:sz w:val="32"/>
                <w:szCs w:val="32"/>
                <w:lang w:val="en-US" w:eastAsia="zh-CN"/>
              </w:rPr>
              <w:t>人员表彰奖励方案的制定。</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(4)全院年度考核相关工作计划制定及实施。</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(5)负责做好人员招聘、录用、调动的计划，以备实施。</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(6)人事档案工作的调查研究，联系实际，及时提出建议和意见。</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r>
              <w:rPr>
                <w:rFonts w:hint="default" w:ascii="宋体" w:cs="Times New Roman"/>
                <w:color w:val="3E3E3E"/>
                <w:kern w:val="0"/>
                <w:sz w:val="32"/>
                <w:szCs w:val="32"/>
                <w:lang w:val="en-US" w:eastAsia="zh-CN"/>
              </w:rPr>
              <w:t>(7)完成上级交办的其它工作。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（五）公卫科</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(1)负责科室的业务、行政、经济管理和思想政治工作，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期向领导汇报工作情况。</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(2)度工作计划总结，做好全镇食品生产经营企业、饮食服务业、公共场所、生活饮用水、化妆品、</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学校卫生等各项监测任务规划安排，并组织实施。</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(3)每年中对室计划施情况进行检查评估，提出下半</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年工作意见。</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(4)参与业务工作实践，全面掌握食品行业、公共场所、供水单位、学校等预防性卫生监测情况。有计划地检查、指导基层的卫生监测工作。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(5)参与重点食品行业、公共场所、学校、供水单位以及与健康相关产品检测结果的卫生评价，做好日常监测结果卫生学评价发出前的审查把关工作。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（六）预防保健科</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(1)管理工作，安排科室业务工作、组织业务学习及民主生活会。</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(2)负责制定免疫规划全年工作计划并撰写工作总结，完成率 100%。</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(3)人员业务培训，对预防接种人员进行接种资质认证和审验考试，完成率100%。</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(4)负责织展对种免疫工作季度考核、“4.25”计划免疫宣传日及“7.28”世界肝炎日宣传活动。</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(5)负责疫苗使用管理，二类疫苗月销售情况核对，账物相符率 100%。</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(6)负责组织开展种证查验工作、麻苗查漏补种及糖丸补充免疫等工作。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7)负责免疫规划工作，督促完成一类疫苗接种率及其他各项工作。</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8)完成领导临时交办的其他任务。</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计划免疫工作人员岗位责任制</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(1)负责全镇接种率监测，按时上报免疫各类报表。(要求报表上报及时率完整率100%，国家免疫规划疫苗接种率 95%以上，扩大免疫规划苗接种率90%以上)</w:t>
            </w:r>
          </w:p>
          <w:p>
            <w:pPr>
              <w:widowControl/>
              <w:spacing w:before="100" w:beforeAutospacing="1" w:after="100" w:afterAutospacing="1" w:line="360" w:lineRule="auto"/>
              <w:jc w:val="left"/>
              <w:rPr>
                <w:rFonts w:hint="eastAsia" w:ascii="宋体" w:cs="Times New Roman"/>
                <w:color w:val="3E3E3E"/>
                <w:kern w:val="0"/>
                <w:sz w:val="32"/>
                <w:szCs w:val="32"/>
                <w:lang w:eastAsia="zh-CN"/>
              </w:rPr>
            </w:pPr>
            <w:r>
              <w:rPr>
                <w:rFonts w:hint="eastAsia" w:ascii="宋体" w:cs="Times New Roman"/>
                <w:color w:val="3E3E3E"/>
                <w:kern w:val="0"/>
                <w:sz w:val="32"/>
                <w:szCs w:val="32"/>
                <w:lang w:eastAsia="zh-CN"/>
              </w:rPr>
              <w:t>(2)负责一类疫苗及冷链管理工作，二类疫苗的管理。每月核对库存，账物相符率 100%。负责冷链设备保养，冷链温度监测率 100%。</w:t>
            </w:r>
          </w:p>
          <w:p>
            <w:pPr>
              <w:widowControl/>
              <w:spacing w:before="100" w:beforeAutospacing="1" w:after="100" w:afterAutospacing="1" w:line="360" w:lineRule="auto"/>
              <w:jc w:val="left"/>
              <w:rPr>
                <w:rFonts w:hint="default" w:ascii="宋体" w:cs="Times New Roman"/>
                <w:color w:val="3E3E3E"/>
                <w:kern w:val="0"/>
                <w:sz w:val="32"/>
                <w:szCs w:val="32"/>
                <w:lang w:val="en-US" w:eastAsia="zh-CN"/>
              </w:rPr>
            </w:pPr>
          </w:p>
          <w:p>
            <w:pPr>
              <w:widowControl/>
              <w:spacing w:before="100" w:beforeAutospacing="1" w:after="100" w:afterAutospacing="1" w:line="360" w:lineRule="auto"/>
              <w:jc w:val="left"/>
              <w:rPr>
                <w:rFonts w:ascii="宋体" w:cs="Times New Roman"/>
                <w:color w:val="3E3E3E"/>
                <w:kern w:val="0"/>
                <w:sz w:val="32"/>
                <w:szCs w:val="32"/>
              </w:rPr>
            </w:pPr>
          </w:p>
        </w:tc>
      </w:tr>
    </w:tbl>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长春市</w:t>
      </w:r>
      <w:r>
        <w:rPr>
          <w:rFonts w:hint="eastAsia" w:ascii="宋体" w:hAnsi="宋体" w:cs="宋体"/>
          <w:color w:val="3E3E3E"/>
          <w:kern w:val="0"/>
          <w:sz w:val="32"/>
          <w:szCs w:val="32"/>
          <w:lang w:eastAsia="zh-CN"/>
        </w:rPr>
        <w:t>二道区</w:t>
      </w:r>
      <w:r>
        <w:rPr>
          <w:rFonts w:hint="eastAsia" w:ascii="宋体" w:hAnsi="宋体" w:cs="宋体"/>
          <w:color w:val="3E3E3E"/>
          <w:kern w:val="0"/>
          <w:sz w:val="32"/>
          <w:szCs w:val="32"/>
          <w:lang w:val="en-US" w:eastAsia="zh-CN"/>
        </w:rPr>
        <w:t>长青社区卫生服务中心</w:t>
      </w:r>
      <w:r>
        <w:rPr>
          <w:rFonts w:hint="eastAsia" w:ascii="宋体" w:hAnsi="宋体" w:cs="宋体"/>
          <w:color w:val="3E3E3E"/>
          <w:kern w:val="0"/>
          <w:sz w:val="32"/>
          <w:szCs w:val="32"/>
        </w:rPr>
        <w:t>，共计</w:t>
      </w:r>
      <w:r>
        <w:rPr>
          <w:rFonts w:hint="eastAsia" w:ascii="宋体" w:hAnsi="宋体" w:cs="宋体"/>
          <w:color w:val="3E3E3E"/>
          <w:kern w:val="0"/>
          <w:sz w:val="32"/>
          <w:szCs w:val="32"/>
          <w:lang w:val="en-US" w:eastAsia="zh-CN"/>
        </w:rPr>
        <w:t>1</w:t>
      </w:r>
      <w:r>
        <w:rPr>
          <w:rFonts w:hint="eastAsia" w:ascii="宋体" w:hAnsi="宋体" w:cs="宋体"/>
          <w:color w:val="3E3E3E"/>
          <w:kern w:val="0"/>
          <w:sz w:val="32"/>
          <w:szCs w:val="32"/>
        </w:rPr>
        <w:t>个预算单位。　</w:t>
      </w:r>
      <w:r>
        <w:rPr>
          <w:rFonts w:hint="eastAsia" w:ascii="宋体" w:hAnsi="宋体" w:cs="宋体"/>
          <w:color w:val="3E3E3E"/>
          <w:kern w:val="0"/>
          <w:sz w:val="32"/>
          <w:szCs w:val="32"/>
          <w:lang w:val="en-US" w:eastAsia="zh-CN"/>
        </w:rPr>
        <w:t xml:space="preserve">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长春市</w:t>
      </w:r>
      <w:r>
        <w:rPr>
          <w:rFonts w:hint="eastAsia" w:ascii="宋体" w:hAnsi="宋体" w:cs="宋体"/>
          <w:color w:val="3E3E3E"/>
          <w:kern w:val="0"/>
          <w:sz w:val="32"/>
          <w:szCs w:val="32"/>
          <w:lang w:eastAsia="zh-CN"/>
        </w:rPr>
        <w:t>二道区</w:t>
      </w:r>
      <w:r>
        <w:rPr>
          <w:rFonts w:hint="eastAsia" w:ascii="宋体" w:hAnsi="宋体" w:cs="宋体"/>
          <w:color w:val="3E3E3E"/>
          <w:kern w:val="0"/>
          <w:sz w:val="32"/>
          <w:szCs w:val="32"/>
          <w:lang w:val="en-US" w:eastAsia="zh-CN"/>
        </w:rPr>
        <w:t>长青社区卫生服务中心</w:t>
      </w:r>
      <w:r>
        <w:rPr>
          <w:rFonts w:hint="eastAsia" w:ascii="宋体" w:hAnsi="宋体" w:cs="宋体"/>
          <w:color w:val="3E3E3E"/>
          <w:kern w:val="0"/>
          <w:sz w:val="32"/>
          <w:szCs w:val="32"/>
        </w:rPr>
        <w:t>现有人员</w:t>
      </w:r>
      <w:r>
        <w:rPr>
          <w:rFonts w:hint="eastAsia" w:ascii="宋体" w:hAnsi="宋体" w:cs="宋体"/>
          <w:color w:val="3E3E3E"/>
          <w:kern w:val="0"/>
          <w:sz w:val="32"/>
          <w:szCs w:val="32"/>
          <w:lang w:val="en-US" w:eastAsia="zh-CN"/>
        </w:rPr>
        <w:t>99</w:t>
      </w:r>
      <w:r>
        <w:rPr>
          <w:rFonts w:hint="eastAsia" w:ascii="宋体" w:hAnsi="宋体" w:cs="宋体"/>
          <w:color w:val="3E3E3E"/>
          <w:kern w:val="0"/>
          <w:sz w:val="32"/>
          <w:szCs w:val="32"/>
        </w:rPr>
        <w:t>人，其中，在职人员</w:t>
      </w:r>
      <w:r>
        <w:rPr>
          <w:rFonts w:hint="eastAsia" w:ascii="宋体" w:hAnsi="宋体" w:cs="宋体"/>
          <w:color w:val="3E3E3E"/>
          <w:kern w:val="0"/>
          <w:sz w:val="32"/>
          <w:szCs w:val="32"/>
          <w:lang w:val="en-US" w:eastAsia="zh-CN"/>
        </w:rPr>
        <w:t>19</w:t>
      </w:r>
      <w:r>
        <w:rPr>
          <w:rFonts w:hint="eastAsia" w:ascii="宋体" w:hAnsi="宋体" w:cs="宋体"/>
          <w:color w:val="3E3E3E"/>
          <w:kern w:val="0"/>
          <w:sz w:val="32"/>
          <w:szCs w:val="32"/>
        </w:rPr>
        <w:t>人员，离退休人员</w:t>
      </w:r>
      <w:r>
        <w:rPr>
          <w:rFonts w:hint="eastAsia" w:ascii="宋体" w:hAnsi="宋体" w:cs="宋体"/>
          <w:color w:val="3E3E3E"/>
          <w:kern w:val="0"/>
          <w:sz w:val="32"/>
          <w:szCs w:val="32"/>
          <w:lang w:val="en-US" w:eastAsia="zh-CN"/>
        </w:rPr>
        <w:t>80</w:t>
      </w:r>
      <w:r>
        <w:rPr>
          <w:rFonts w:hint="eastAsia" w:ascii="宋体" w:hAnsi="宋体" w:cs="宋体"/>
          <w:color w:val="3E3E3E"/>
          <w:kern w:val="0"/>
          <w:sz w:val="32"/>
          <w:szCs w:val="32"/>
        </w:rPr>
        <w:t>人。</w:t>
      </w: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2</w:t>
      </w:r>
      <w:r>
        <w:rPr>
          <w:rFonts w:hint="eastAsia" w:ascii="宋体" w:hAnsi="宋体" w:cs="宋体"/>
          <w:color w:val="3E3E3E"/>
          <w:kern w:val="0"/>
          <w:sz w:val="32"/>
          <w:szCs w:val="32"/>
        </w:rPr>
        <w:t>年财政拨款收支预算表</w:t>
      </w:r>
      <w:r>
        <w:rPr>
          <w:rFonts w:hint="eastAsia" w:ascii="宋体" w:hAnsi="宋体" w:cs="宋体"/>
          <w:color w:val="3E3E3E"/>
          <w:kern w:val="0"/>
          <w:sz w:val="32"/>
          <w:szCs w:val="32"/>
        </w:rPr>
        <w:fldChar w:fldCharType="end"/>
      </w:r>
    </w:p>
    <w:tbl>
      <w:tblPr>
        <w:tblStyle w:val="5"/>
        <w:tblpPr w:leftFromText="180" w:rightFromText="180" w:vertAnchor="text" w:horzAnchor="page" w:tblpX="259" w:tblpY="1245"/>
        <w:tblOverlap w:val="never"/>
        <w:tblW w:w="11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1010"/>
        <w:gridCol w:w="1591"/>
        <w:gridCol w:w="1010"/>
        <w:gridCol w:w="2119"/>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27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1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5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10"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119"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2311"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一、一般公共服务支出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532.92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532.92</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（一）一般公共预算财政拨款</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532.92</w:t>
            </w: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二、外交支出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（二）政府性基金预算财政拨款</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三、国防支出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四、公共安全支出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（一）一般公共预算财政拨款</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五、教育支出    </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（二）政府性基金预算财政拨款</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六、科学技术支出  </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支出总计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532.92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2</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5"/>
        <w:tblpPr w:leftFromText="180" w:rightFromText="180" w:vertAnchor="text" w:horzAnchor="page" w:tblpX="96" w:tblpY="1752"/>
        <w:tblOverlap w:val="never"/>
        <w:tblW w:w="11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438"/>
        <w:gridCol w:w="438"/>
        <w:gridCol w:w="2102"/>
        <w:gridCol w:w="1185"/>
        <w:gridCol w:w="1214"/>
        <w:gridCol w:w="1214"/>
        <w:gridCol w:w="1214"/>
        <w:gridCol w:w="1011"/>
        <w:gridCol w:w="761"/>
        <w:gridCol w:w="761"/>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164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37" w:type="dxa"/>
            <w:tcBorders>
              <w:top w:val="nil"/>
              <w:left w:val="nil"/>
              <w:bottom w:val="single" w:color="000000" w:sz="4" w:space="0"/>
              <w:right w:val="nil"/>
            </w:tcBorders>
            <w:shd w:val="clear" w:color="auto" w:fill="auto"/>
            <w:noWrap/>
            <w:vAlign w:val="center"/>
          </w:tcPr>
          <w:p>
            <w:pPr>
              <w:jc w:val="left"/>
              <w:rPr>
                <w:rFonts w:hint="eastAsia" w:ascii="华文细黑" w:hAnsi="华文细黑" w:eastAsia="华文细黑" w:cs="华文细黑"/>
                <w:i w:val="0"/>
                <w:iCs w:val="0"/>
                <w:color w:val="000000"/>
                <w:sz w:val="16"/>
                <w:szCs w:val="16"/>
                <w:u w:val="none"/>
              </w:rPr>
            </w:pPr>
          </w:p>
        </w:tc>
        <w:tc>
          <w:tcPr>
            <w:tcW w:w="438" w:type="dxa"/>
            <w:tcBorders>
              <w:top w:val="nil"/>
              <w:left w:val="nil"/>
              <w:bottom w:val="single" w:color="000000" w:sz="4" w:space="0"/>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438" w:type="dxa"/>
            <w:tcBorders>
              <w:top w:val="nil"/>
              <w:left w:val="nil"/>
              <w:bottom w:val="single" w:color="000000" w:sz="4" w:space="0"/>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2102" w:type="dxa"/>
            <w:tcBorders>
              <w:top w:val="nil"/>
              <w:left w:val="nil"/>
              <w:bottom w:val="single" w:color="000000" w:sz="4" w:space="0"/>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1185" w:type="dxa"/>
            <w:tcBorders>
              <w:top w:val="nil"/>
              <w:left w:val="nil"/>
              <w:bottom w:val="single" w:color="000000" w:sz="4" w:space="0"/>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1214" w:type="dxa"/>
            <w:tcBorders>
              <w:top w:val="nil"/>
              <w:left w:val="nil"/>
              <w:bottom w:val="nil"/>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1214" w:type="dxa"/>
            <w:tcBorders>
              <w:top w:val="nil"/>
              <w:left w:val="nil"/>
              <w:bottom w:val="nil"/>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1214" w:type="dxa"/>
            <w:tcBorders>
              <w:top w:val="nil"/>
              <w:left w:val="nil"/>
              <w:bottom w:val="nil"/>
              <w:right w:val="nil"/>
            </w:tcBorders>
            <w:shd w:val="clear" w:color="auto" w:fill="auto"/>
            <w:noWrap/>
            <w:vAlign w:val="center"/>
          </w:tcPr>
          <w:p>
            <w:pPr>
              <w:jc w:val="left"/>
              <w:rPr>
                <w:rFonts w:hint="default" w:ascii="华文细黑" w:hAnsi="华文细黑" w:eastAsia="华文细黑" w:cs="华文细黑"/>
                <w:i w:val="0"/>
                <w:iCs w:val="0"/>
                <w:color w:val="000000"/>
                <w:sz w:val="16"/>
                <w:szCs w:val="16"/>
                <w:u w:val="none"/>
              </w:rPr>
            </w:pPr>
          </w:p>
        </w:tc>
        <w:tc>
          <w:tcPr>
            <w:tcW w:w="1011" w:type="dxa"/>
            <w:tcBorders>
              <w:top w:val="nil"/>
              <w:left w:val="nil"/>
              <w:bottom w:val="nil"/>
              <w:right w:val="nil"/>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1" w:type="dxa"/>
            <w:tcBorders>
              <w:top w:val="nil"/>
              <w:left w:val="nil"/>
              <w:bottom w:val="single" w:color="000000" w:sz="4" w:space="0"/>
              <w:right w:val="nil"/>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1526"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科目编码</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科目名称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总计</w:t>
            </w:r>
          </w:p>
        </w:tc>
        <w:tc>
          <w:tcPr>
            <w:tcW w:w="36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基本支出</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                                             支出</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事业                                     单位                           经营                             支出</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对附属                                           单位补                                      助支出</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上缴                                            上级                                                         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类</w:t>
            </w:r>
          </w:p>
        </w:tc>
        <w:tc>
          <w:tcPr>
            <w:tcW w:w="43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款</w:t>
            </w:r>
          </w:p>
        </w:tc>
        <w:tc>
          <w:tcPr>
            <w:tcW w:w="43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w:t>
            </w: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细黑" w:hAnsi="华文细黑" w:eastAsia="华文细黑" w:cs="华文细黑"/>
                <w:i w:val="0"/>
                <w:iCs w:val="0"/>
                <w:color w:val="000000"/>
                <w:sz w:val="16"/>
                <w:szCs w:val="16"/>
                <w:u w:val="none"/>
              </w:rPr>
            </w:pPr>
          </w:p>
        </w:tc>
        <w:tc>
          <w:tcPr>
            <w:tcW w:w="36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细黑" w:hAnsi="华文细黑" w:eastAsia="华文细黑" w:cs="华文细黑"/>
                <w:i w:val="0"/>
                <w:iCs w:val="0"/>
                <w:color w:val="000000"/>
                <w:sz w:val="16"/>
                <w:szCs w:val="16"/>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3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华文细黑" w:hAnsi="华文细黑" w:eastAsia="华文细黑" w:cs="华文细黑"/>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合计</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人员经费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公用经费</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细黑" w:hAnsi="华文细黑" w:eastAsia="华文细黑" w:cs="华文细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栏次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长青社区卫生服务中心</w:t>
            </w:r>
            <w:r>
              <w:rPr>
                <w:rFonts w:hint="default" w:ascii="华文细黑" w:hAnsi="华文细黑" w:eastAsia="华文细黑" w:cs="华文细黑"/>
                <w:i w:val="0"/>
                <w:iCs w:val="0"/>
                <w:color w:val="000000"/>
                <w:kern w:val="0"/>
                <w:sz w:val="16"/>
                <w:szCs w:val="16"/>
                <w:u w:val="none"/>
                <w:lang w:val="en-US" w:eastAsia="zh-CN" w:bidi="ar"/>
              </w:rPr>
              <w:t>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172.29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172.29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172.29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养老保险单位承担部分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12.6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12.6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12.6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失业保险单位承担部分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党组织工作经费（含活动经费）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区级75%公卫基本资金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15.04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15.04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二类苗接种经费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1.95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1.95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基本公共卫生中央、省、市资金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230.63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230.63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外聘人员劳务派遣服务费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5.3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5.3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基本药物制度改革经费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90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污水、医疗废物处置经费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3.8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3.8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细黑" w:hAnsi="华文细黑" w:eastAsia="华文细黑" w:cs="华文细黑"/>
                <w:i w:val="0"/>
                <w:iCs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细黑" w:hAnsi="华文细黑" w:eastAsia="华文细黑" w:cs="华文细黑"/>
                <w:i w:val="0"/>
                <w:iCs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16"/>
                <w:szCs w:val="16"/>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总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532.92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6"/>
                <w:szCs w:val="16"/>
                <w:u w:val="none"/>
                <w:lang w:val="en-US" w:eastAsia="zh-CN"/>
              </w:rPr>
            </w:pPr>
            <w:r>
              <w:rPr>
                <w:rFonts w:hint="eastAsia" w:ascii="Arial" w:hAnsi="Arial" w:cs="Arial"/>
                <w:i w:val="0"/>
                <w:iCs w:val="0"/>
                <w:color w:val="000000"/>
                <w:sz w:val="16"/>
                <w:szCs w:val="16"/>
                <w:u w:val="none"/>
                <w:lang w:val="en-US" w:eastAsia="zh-CN"/>
              </w:rPr>
              <w:t>186.10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185.42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59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346.82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0.00</w:t>
            </w:r>
          </w:p>
        </w:tc>
      </w:tr>
    </w:tbl>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2</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5"/>
        <w:tblpPr w:leftFromText="180" w:rightFromText="180" w:vertAnchor="text" w:horzAnchor="page" w:tblpX="804" w:tblpY="882"/>
        <w:tblOverlap w:val="never"/>
        <w:tblW w:w="10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6"/>
        <w:gridCol w:w="1902"/>
        <w:gridCol w:w="1736"/>
        <w:gridCol w:w="1736"/>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6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表3</w:t>
            </w:r>
          </w:p>
        </w:tc>
        <w:tc>
          <w:tcPr>
            <w:tcW w:w="190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0776"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36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6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9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736"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736"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w:t>
            </w:r>
          </w:p>
        </w:tc>
        <w:tc>
          <w:tcPr>
            <w:tcW w:w="5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185.42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185.42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对个人和家庭补助</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186.101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185.42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tbl>
      <w:tblPr>
        <w:tblStyle w:val="5"/>
        <w:tblW w:w="8315" w:type="dxa"/>
        <w:tblInd w:w="-106" w:type="dxa"/>
        <w:tblLayout w:type="fixed"/>
        <w:tblCellMar>
          <w:top w:w="0" w:type="dxa"/>
          <w:left w:w="108" w:type="dxa"/>
          <w:bottom w:w="0" w:type="dxa"/>
          <w:right w:w="108" w:type="dxa"/>
        </w:tblCellMar>
      </w:tblPr>
      <w:tblGrid>
        <w:gridCol w:w="3174"/>
        <w:gridCol w:w="926"/>
        <w:gridCol w:w="1680"/>
        <w:gridCol w:w="2535"/>
      </w:tblGrid>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31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部门（单位）名称：长春市工业和信息化局</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92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2017</w:t>
            </w:r>
            <w:r>
              <w:rPr>
                <w:rFonts w:hint="eastAsia" w:ascii="宋体" w:hAnsi="宋体" w:cs="宋体"/>
                <w:b/>
                <w:bCs/>
                <w:color w:val="000000"/>
                <w:kern w:val="0"/>
                <w:sz w:val="18"/>
                <w:szCs w:val="18"/>
              </w:rPr>
              <w:t>年预算数</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w:t>
            </w:r>
            <w:r>
              <w:rPr>
                <w:rFonts w:ascii="Times New Roman" w:hAnsi="Times New Roman" w:cs="Times New Roman"/>
                <w:b/>
                <w:bCs/>
                <w:color w:val="000000"/>
                <w:kern w:val="0"/>
                <w:sz w:val="18"/>
                <w:szCs w:val="18"/>
              </w:rPr>
              <w:t>2016</w:t>
            </w:r>
            <w:r>
              <w:rPr>
                <w:rFonts w:hint="eastAsia" w:ascii="宋体" w:hAnsi="宋体" w:cs="宋体"/>
                <w:b/>
                <w:bCs/>
                <w:color w:val="000000"/>
                <w:kern w:val="0"/>
                <w:sz w:val="18"/>
                <w:szCs w:val="18"/>
              </w:rPr>
              <w:t>年预算数增减</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计</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宋体"/>
                <w:color w:val="000000"/>
                <w:kern w:val="0"/>
                <w:sz w:val="18"/>
                <w:szCs w:val="18"/>
              </w:rPr>
              <w:t>、因公出国（境）费用</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、公务接待费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宋体"/>
                <w:color w:val="000000"/>
                <w:kern w:val="0"/>
                <w:sz w:val="18"/>
                <w:szCs w:val="18"/>
              </w:rPr>
              <w:t>、公务用车费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其中：（</w:t>
            </w:r>
            <w:r>
              <w:rPr>
                <w:rFonts w:ascii="Times New Roman" w:hAnsi="Times New Roman" w:cs="Times New Roman"/>
                <w:color w:val="000000"/>
                <w:kern w:val="0"/>
                <w:sz w:val="18"/>
                <w:szCs w:val="18"/>
              </w:rPr>
              <w:t>1</w:t>
            </w:r>
            <w:r>
              <w:rPr>
                <w:rFonts w:hint="eastAsia" w:ascii="宋体" w:hAnsi="宋体" w:cs="宋体"/>
                <w:color w:val="000000"/>
                <w:kern w:val="0"/>
                <w:sz w:val="18"/>
                <w:szCs w:val="18"/>
              </w:rPr>
              <w:t>）公务用车运行维护费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w:t>
            </w: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）公务用车购置费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single" w:color="000000"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w:t>
            </w:r>
            <w:r>
              <w:rPr>
                <w:rFonts w:hint="eastAsia" w:ascii="Times New Roman" w:hAnsi="Times New Roman" w:cs="Times New Roman"/>
                <w:color w:val="000000"/>
                <w:kern w:val="0"/>
                <w:sz w:val="18"/>
                <w:szCs w:val="18"/>
                <w:u w:val="single"/>
                <w:lang w:val="en-US" w:eastAsia="zh-CN"/>
              </w:rPr>
              <w:t>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38</w:t>
            </w:r>
            <w:r>
              <w:rPr>
                <w:rFonts w:hint="eastAsia" w:ascii="宋体" w:hAnsi="宋体" w:cs="宋体"/>
                <w:color w:val="000000"/>
                <w:kern w:val="0"/>
                <w:sz w:val="18"/>
                <w:szCs w:val="18"/>
              </w:rPr>
              <w:t>人，其中：在职人员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28</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人，离退休人员</w:t>
            </w:r>
            <w:r>
              <w:rPr>
                <w:rFonts w:hint="eastAsia" w:ascii="Times New Roman" w:hAnsi="Times New Roman" w:cs="Times New Roman"/>
                <w:color w:val="000000"/>
                <w:kern w:val="0"/>
                <w:sz w:val="18"/>
                <w:szCs w:val="18"/>
                <w:lang w:val="en-US" w:eastAsia="zh-CN"/>
              </w:rPr>
              <w:t>10</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tbl>
      <w:tblPr>
        <w:tblStyle w:val="5"/>
        <w:tblW w:w="8630" w:type="dxa"/>
        <w:tblInd w:w="-106" w:type="dxa"/>
        <w:tblLayout w:type="fixed"/>
        <w:tblCellMar>
          <w:top w:w="0" w:type="dxa"/>
          <w:left w:w="108" w:type="dxa"/>
          <w:bottom w:w="0" w:type="dxa"/>
          <w:right w:w="108" w:type="dxa"/>
        </w:tblCellMar>
      </w:tblPr>
      <w:tblGrid>
        <w:gridCol w:w="1720"/>
        <w:gridCol w:w="2670"/>
        <w:gridCol w:w="1400"/>
        <w:gridCol w:w="1480"/>
        <w:gridCol w:w="1360"/>
      </w:tblGrid>
      <w:tr>
        <w:tblPrEx>
          <w:tblCellMar>
            <w:top w:w="0" w:type="dxa"/>
            <w:left w:w="108" w:type="dxa"/>
            <w:bottom w:w="0" w:type="dxa"/>
            <w:right w:w="108" w:type="dxa"/>
          </w:tblCellMar>
        </w:tblPrEx>
        <w:trPr>
          <w:trHeight w:val="420" w:hRule="atLeast"/>
        </w:trPr>
        <w:tc>
          <w:tcPr>
            <w:tcW w:w="172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439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部门（单位）名称：长春市工业和信息化局</w:t>
            </w:r>
          </w:p>
        </w:tc>
        <w:tc>
          <w:tcPr>
            <w:tcW w:w="140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48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26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26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工资福利支出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基本工资</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社会保障费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商品和服务支出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办公费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水电费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邮电费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取暖费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30205</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公务用车维护费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30206</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差旅费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30207</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维护费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30208</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培训费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30209</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招待费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30210</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工会经费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hint="eastAsia" w:ascii="宋体" w:hAnsi="宋体" w:cs="宋体"/>
                <w:b/>
                <w:bCs/>
                <w:color w:val="000000"/>
                <w:kern w:val="0"/>
                <w:sz w:val="22"/>
                <w:szCs w:val="22"/>
              </w:rPr>
              <w:t>福利费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对个人和家庭补助支出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退休费</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公积金</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其他对个人和家庭补助支出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工伤保险</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其他资本性支出</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30401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大型修缮</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267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2</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tbl>
      <w:tblPr>
        <w:tblStyle w:val="5"/>
        <w:tblW w:w="8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619"/>
        <w:gridCol w:w="1795"/>
        <w:gridCol w:w="2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表6</w:t>
            </w:r>
          </w:p>
        </w:tc>
        <w:tc>
          <w:tcPr>
            <w:tcW w:w="1619"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7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38" w:type="dxa"/>
            <w:gridSpan w:val="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69"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部门（单位）名称：</w:t>
            </w:r>
          </w:p>
        </w:tc>
        <w:tc>
          <w:tcPr>
            <w:tcW w:w="236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47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w:t>
            </w:r>
            <w:r>
              <w:rPr>
                <w:rStyle w:val="9"/>
                <w:rFonts w:ascii="宋体" w:hAnsi="宋体" w:eastAsia="宋体" w:cs="宋体"/>
                <w:sz w:val="24"/>
                <w:szCs w:val="24"/>
                <w:lang w:val="en-US" w:eastAsia="zh-CN" w:bidi="ar"/>
              </w:rPr>
              <w:t xml:space="preserve">      </w:t>
            </w:r>
            <w:r>
              <w:rPr>
                <w:rStyle w:val="10"/>
                <w:lang w:val="en-US" w:eastAsia="zh-CN" w:bidi="ar"/>
              </w:rPr>
              <w:t>入</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r>
              <w:rPr>
                <w:rStyle w:val="9"/>
                <w:rFonts w:ascii="宋体" w:hAnsi="宋体" w:eastAsia="宋体" w:cs="宋体"/>
                <w:sz w:val="24"/>
                <w:szCs w:val="24"/>
                <w:lang w:val="en-US" w:eastAsia="zh-CN" w:bidi="ar"/>
              </w:rPr>
              <w:t xml:space="preserve">      </w:t>
            </w:r>
            <w:r>
              <w:rPr>
                <w:rStyle w:val="10"/>
                <w:lang w:val="en-US" w:eastAsia="zh-CN" w:bidi="ar"/>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532.92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2"/>
                <w:szCs w:val="22"/>
                <w:u w:val="none"/>
                <w:lang w:val="en-US" w:eastAsia="zh-CN" w:bidi="ar"/>
              </w:rPr>
              <w:t>532.92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三、事业收入</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2"/>
                <w:szCs w:val="22"/>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四、经营收入</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2"/>
                <w:szCs w:val="22"/>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五、其他收入</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2"/>
                <w:szCs w:val="22"/>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用事业基金弥补收支差额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结转下年</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收入总计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支出总计</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532.92</w:t>
            </w:r>
          </w:p>
        </w:tc>
      </w:tr>
    </w:tbl>
    <w:p>
      <w:pPr>
        <w:widowControl/>
        <w:spacing w:before="100" w:beforeAutospacing="1" w:after="100" w:afterAutospacing="1" w:line="360" w:lineRule="auto"/>
        <w:jc w:val="left"/>
        <w:rPr>
          <w:rFonts w:hint="eastAsia" w:ascii="宋体" w:hAnsi="宋体" w:cs="宋体"/>
          <w:color w:val="3E3E3E"/>
          <w:kern w:val="0"/>
          <w:sz w:val="32"/>
          <w:szCs w:val="32"/>
        </w:rPr>
      </w:pPr>
    </w:p>
    <w:tbl>
      <w:tblPr>
        <w:tblStyle w:val="5"/>
        <w:tblpPr w:leftFromText="180" w:rightFromText="180" w:vertAnchor="text" w:horzAnchor="page" w:tblpX="96" w:tblpY="840"/>
        <w:tblOverlap w:val="never"/>
        <w:tblW w:w="11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162"/>
        <w:gridCol w:w="1051"/>
        <w:gridCol w:w="1051"/>
        <w:gridCol w:w="929"/>
        <w:gridCol w:w="929"/>
        <w:gridCol w:w="929"/>
        <w:gridCol w:w="929"/>
        <w:gridCol w:w="929"/>
        <w:gridCol w:w="929"/>
        <w:gridCol w:w="929"/>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01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表7</w:t>
            </w:r>
          </w:p>
        </w:tc>
        <w:tc>
          <w:tcPr>
            <w:tcW w:w="116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0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1715"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0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功能科目编码（类款项）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事业单位经营收入</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用事业基金弥补收支差额</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2010101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长青社区卫生服务中心</w:t>
            </w:r>
            <w:r>
              <w:rPr>
                <w:rFonts w:hint="default" w:ascii="华文细黑" w:hAnsi="华文细黑" w:eastAsia="华文细黑" w:cs="华文细黑"/>
                <w:i w:val="0"/>
                <w:iCs w:val="0"/>
                <w:color w:val="000000"/>
                <w:kern w:val="0"/>
                <w:sz w:val="16"/>
                <w:szCs w:val="16"/>
                <w:u w:val="none"/>
                <w:lang w:val="en-US" w:eastAsia="zh-CN" w:bidi="ar"/>
              </w:rPr>
              <w:t>经费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172.30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172.30</w:t>
            </w:r>
            <w:r>
              <w:rPr>
                <w:rFonts w:hint="default" w:ascii="Arial" w:hAnsi="Arial" w:eastAsia="宋体" w:cs="Arial"/>
                <w:i w:val="0"/>
                <w:iCs w:val="0"/>
                <w:color w:val="000000"/>
                <w:kern w:val="0"/>
                <w:sz w:val="16"/>
                <w:szCs w:val="16"/>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2010102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养老保险单位承担部分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12.6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失业保险单位承担部分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0.53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0.53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党组织工作经费（含活动经费）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default" w:ascii="Arial" w:hAnsi="Arial" w:eastAsia="宋体" w:cs="Arial"/>
                <w:i w:val="0"/>
                <w:iCs w:val="0"/>
                <w:color w:val="000000"/>
                <w:kern w:val="0"/>
                <w:sz w:val="20"/>
                <w:szCs w:val="20"/>
                <w:u w:val="none"/>
                <w:lang w:val="en-US" w:eastAsia="zh-CN" w:bidi="ar"/>
              </w:rPr>
              <w:t>0.</w:t>
            </w:r>
            <w:r>
              <w:rPr>
                <w:rFonts w:hint="eastAsia" w:ascii="Arial" w:hAnsi="Arial" w:cs="Arial"/>
                <w:i w:val="0"/>
                <w:iCs w:val="0"/>
                <w:color w:val="000000"/>
                <w:kern w:val="0"/>
                <w:sz w:val="20"/>
                <w:szCs w:val="20"/>
                <w:u w:val="none"/>
                <w:lang w:val="en-US" w:eastAsia="zh-CN" w:bidi="ar"/>
              </w:rPr>
              <w:t>69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cs="Arial"/>
                <w:i w:val="0"/>
                <w:iCs w:val="0"/>
                <w:color w:val="000000"/>
                <w:kern w:val="0"/>
                <w:sz w:val="16"/>
                <w:szCs w:val="16"/>
                <w:u w:val="none"/>
                <w:lang w:val="en-US" w:eastAsia="zh-CN" w:bidi="ar"/>
              </w:rPr>
              <w:t>69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区级75%公卫基本资金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15.04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15.04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二类苗接种经费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1.9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基本公共卫生中央、省、市资金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230.63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230.63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外聘人员劳务派遣服务费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5.40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5.40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基本药物制度改革经费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90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rPr>
            </w:pPr>
            <w:r>
              <w:rPr>
                <w:rFonts w:hint="eastAsia" w:ascii="Arial" w:hAnsi="Arial" w:cs="Arial"/>
                <w:i w:val="0"/>
                <w:iCs w:val="0"/>
                <w:color w:val="000000"/>
                <w:kern w:val="0"/>
                <w:sz w:val="16"/>
                <w:szCs w:val="16"/>
                <w:u w:val="none"/>
                <w:lang w:val="en-US" w:eastAsia="zh-CN" w:bidi="ar"/>
              </w:rPr>
              <w:t>90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污水、医疗废物处置经费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3.8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6"/>
                <w:szCs w:val="16"/>
                <w:u w:val="none"/>
                <w:lang w:val="en-US"/>
              </w:rPr>
            </w:pPr>
            <w:r>
              <w:rPr>
                <w:rFonts w:hint="eastAsia" w:ascii="Arial" w:hAnsi="Arial" w:cs="Arial"/>
                <w:i w:val="0"/>
                <w:iCs w:val="0"/>
                <w:color w:val="000000"/>
                <w:kern w:val="0"/>
                <w:sz w:val="16"/>
                <w:szCs w:val="16"/>
                <w:u w:val="none"/>
                <w:lang w:val="en-US" w:eastAsia="zh-CN" w:bidi="ar"/>
              </w:rPr>
              <w:t>3.8</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bl>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cs="宋体"/>
          <w:color w:val="3E3E3E"/>
          <w:kern w:val="0"/>
          <w:sz w:val="32"/>
          <w:szCs w:val="32"/>
        </w:rPr>
      </w:pPr>
    </w:p>
    <w:p>
      <w:pPr>
        <w:spacing w:line="360" w:lineRule="auto"/>
        <w:ind w:firstLine="360"/>
        <w:jc w:val="left"/>
        <w:rPr>
          <w:rFonts w:ascii="宋体" w:cs="Times New Roman"/>
          <w:color w:val="3E3E3E"/>
          <w:kern w:val="0"/>
          <w:sz w:val="32"/>
          <w:szCs w:val="32"/>
        </w:rPr>
      </w:pPr>
    </w:p>
    <w:tbl>
      <w:tblPr>
        <w:tblStyle w:val="5"/>
        <w:tblpPr w:leftFromText="180" w:rightFromText="180" w:vertAnchor="text" w:horzAnchor="page" w:tblpX="387" w:tblpY="1169"/>
        <w:tblOverlap w:val="never"/>
        <w:tblW w:w="113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2"/>
        <w:gridCol w:w="1422"/>
        <w:gridCol w:w="1422"/>
        <w:gridCol w:w="1422"/>
        <w:gridCol w:w="1422"/>
        <w:gridCol w:w="1422"/>
        <w:gridCol w:w="1422"/>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42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部门预算公开表8</w:t>
            </w:r>
          </w:p>
        </w:tc>
        <w:tc>
          <w:tcPr>
            <w:tcW w:w="142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1376" w:type="dxa"/>
            <w:gridSpan w:val="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功能科目编码（类款项）</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事业单位经营支出</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对下级补助支出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532.92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bl>
    <w:p>
      <w:pPr>
        <w:spacing w:line="360" w:lineRule="auto"/>
        <w:ind w:firstLine="360"/>
        <w:jc w:val="left"/>
        <w:rPr>
          <w:rFonts w:hint="eastAsia" w:ascii="宋体" w:hAnsi="宋体" w:cs="宋体"/>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spacing w:line="360" w:lineRule="auto"/>
        <w:ind w:firstLine="360"/>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ascii="宋体" w:hAnsi="宋体" w:cs="宋体"/>
          <w:b/>
          <w:bCs/>
          <w:color w:val="3E3E3E"/>
          <w:kern w:val="0"/>
          <w:sz w:val="32"/>
          <w:szCs w:val="32"/>
        </w:rPr>
        <w:t xml:space="preserve">    </w:t>
      </w:r>
      <w:r>
        <w:rPr>
          <w:rFonts w:hint="eastAsia" w:ascii="宋体" w:hAnsi="宋体" w:cs="宋体"/>
          <w:b/>
          <w:bCs/>
          <w:color w:val="3E3E3E"/>
          <w:kern w:val="0"/>
          <w:sz w:val="32"/>
          <w:szCs w:val="32"/>
        </w:rPr>
        <w:t>一、</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2</w:t>
      </w:r>
      <w:r>
        <w:rPr>
          <w:rFonts w:hint="eastAsia" w:ascii="宋体" w:hAnsi="宋体" w:cs="宋体"/>
          <w:b/>
          <w:bCs/>
          <w:color w:val="3E3E3E"/>
          <w:kern w:val="0"/>
          <w:sz w:val="32"/>
          <w:szCs w:val="32"/>
        </w:rPr>
        <w:t>年财政拨款收支说明</w:t>
      </w:r>
    </w:p>
    <w:p>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w:t>
      </w:r>
      <w:r>
        <w:rPr>
          <w:rFonts w:hint="eastAsia" w:ascii="宋体" w:hAnsi="宋体" w:cs="宋体"/>
          <w:color w:val="3E3E3E"/>
          <w:kern w:val="0"/>
          <w:sz w:val="32"/>
          <w:szCs w:val="32"/>
          <w:lang w:val="en-US" w:eastAsia="zh-CN"/>
        </w:rPr>
        <w:t>22</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532.92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jc w:val="left"/>
        <w:rPr>
          <w:rFonts w:ascii="宋体" w:cs="Times New Roman"/>
          <w:color w:val="3E3E3E"/>
          <w:kern w:val="0"/>
          <w:sz w:val="32"/>
          <w:szCs w:val="32"/>
        </w:rPr>
      </w:pP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22</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532.92</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186.10</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346.82</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二、一般公共预算支出表说明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基本支出</w:t>
      </w:r>
      <w:r>
        <w:rPr>
          <w:rFonts w:hint="eastAsia" w:ascii="宋体" w:hAnsi="宋体" w:cs="宋体"/>
          <w:color w:val="3E3E3E"/>
          <w:kern w:val="0"/>
          <w:sz w:val="32"/>
          <w:szCs w:val="32"/>
          <w:lang w:val="en-US" w:eastAsia="zh-CN"/>
        </w:rPr>
        <w:t>186.10</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346.82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185.42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lang w:eastAsia="zh-CN"/>
        </w:rPr>
        <w:t>公用经费</w:t>
      </w:r>
      <w:r>
        <w:rPr>
          <w:rFonts w:hint="eastAsia" w:ascii="宋体" w:hAnsi="宋体" w:cs="宋体"/>
          <w:color w:val="3E3E3E"/>
          <w:kern w:val="0"/>
          <w:sz w:val="32"/>
          <w:szCs w:val="32"/>
        </w:rPr>
        <w:t>支出</w:t>
      </w:r>
      <w:r>
        <w:rPr>
          <w:rFonts w:hint="eastAsia" w:ascii="宋体" w:hAnsi="宋体" w:cs="宋体"/>
          <w:color w:val="3E3E3E"/>
          <w:kern w:val="0"/>
          <w:sz w:val="32"/>
          <w:szCs w:val="32"/>
          <w:lang w:val="en-US" w:eastAsia="zh-CN"/>
        </w:rPr>
        <w:t>0.69</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186.10</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2</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color w:val="3E3E3E"/>
          <w:kern w:val="0"/>
          <w:sz w:val="32"/>
          <w:szCs w:val="32"/>
          <w:lang w:val="en-US" w:eastAsia="zh-CN"/>
        </w:rPr>
        <w:t>2022</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经费预算数</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其中</w:t>
      </w:r>
      <w:r>
        <w:rPr>
          <w:rFonts w:ascii="宋体" w:hAnsi="宋体" w:cs="宋体"/>
          <w:color w:val="3E3E3E"/>
          <w:kern w:val="0"/>
          <w:sz w:val="32"/>
          <w:szCs w:val="32"/>
        </w:rPr>
        <w:t>1</w:t>
      </w:r>
      <w:r>
        <w:rPr>
          <w:rFonts w:hint="eastAsia" w:ascii="宋体" w:hAnsi="宋体" w:cs="宋体"/>
          <w:color w:val="3E3E3E"/>
          <w:kern w:val="0"/>
          <w:sz w:val="32"/>
          <w:szCs w:val="32"/>
        </w:rPr>
        <w:t>、公务用车费</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w:t>
      </w:r>
    </w:p>
    <w:p>
      <w:pPr>
        <w:spacing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w:t>
      </w:r>
      <w:r>
        <w:rPr>
          <w:rFonts w:hint="eastAsia" w:ascii="宋体" w:hAnsi="宋体" w:cs="宋体"/>
          <w:color w:val="3E3E3E"/>
          <w:kern w:val="0"/>
          <w:sz w:val="32"/>
          <w:szCs w:val="32"/>
        </w:rPr>
        <w:t>、公务接待费</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w:t>
      </w:r>
    </w:p>
    <w:p>
      <w:pPr>
        <w:autoSpaceDE w:val="0"/>
        <w:autoSpaceDN w:val="0"/>
        <w:adjustRightInd w:val="0"/>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五、政府性基金预算说明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2</w:t>
      </w:r>
      <w:r>
        <w:rPr>
          <w:rFonts w:hint="eastAsia" w:ascii="宋体" w:hAnsi="宋体" w:cs="宋体"/>
          <w:color w:val="3E3E3E"/>
          <w:kern w:val="0"/>
          <w:sz w:val="32"/>
          <w:szCs w:val="32"/>
        </w:rPr>
        <w:t>年计划收取水泥扶散装基金</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万元，其中</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万元用于基本支出，</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元用于大型修缮工程。</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六、部门收支表说明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lang w:val="en-US" w:eastAsia="zh-CN"/>
        </w:rPr>
        <w:t>2022</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665.9322</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655.9322</w:t>
      </w:r>
      <w:r>
        <w:rPr>
          <w:rFonts w:hint="eastAsia" w:ascii="宋体" w:hAnsi="宋体" w:cs="宋体"/>
          <w:color w:val="3E3E3E"/>
          <w:kern w:val="0"/>
          <w:sz w:val="32"/>
          <w:szCs w:val="32"/>
        </w:rPr>
        <w:t>万元，政府性基金</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万元，其他收入</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w:t>
      </w:r>
    </w:p>
    <w:p>
      <w:pPr>
        <w:autoSpaceDE w:val="0"/>
        <w:autoSpaceDN w:val="0"/>
        <w:adjustRightInd w:val="0"/>
        <w:ind w:firstLine="640" w:firstLineChars="200"/>
        <w:rPr>
          <w:rFonts w:hint="eastAsia" w:ascii="宋体" w:eastAsia="宋体" w:cs="Times New Roman"/>
          <w:color w:val="3E3E3E"/>
          <w:kern w:val="0"/>
          <w:sz w:val="32"/>
          <w:szCs w:val="32"/>
          <w:lang w:val="en-US" w:eastAsia="zh-CN"/>
        </w:rPr>
      </w:pPr>
      <w:r>
        <w:rPr>
          <w:rFonts w:hint="eastAsia" w:ascii="宋体" w:hAnsi="宋体" w:cs="宋体"/>
          <w:color w:val="3E3E3E"/>
          <w:kern w:val="0"/>
          <w:sz w:val="32"/>
          <w:szCs w:val="32"/>
        </w:rPr>
        <w:t>一般公共服务支出</w:t>
      </w:r>
      <w:r>
        <w:rPr>
          <w:rFonts w:hint="eastAsia" w:ascii="宋体" w:hAnsi="宋体" w:cs="宋体"/>
          <w:color w:val="3E3E3E"/>
          <w:kern w:val="0"/>
          <w:sz w:val="32"/>
          <w:szCs w:val="32"/>
          <w:lang w:val="en-US" w:eastAsia="zh-CN"/>
        </w:rPr>
        <w:t>665.9322</w:t>
      </w:r>
      <w:r>
        <w:rPr>
          <w:rFonts w:hint="eastAsia" w:ascii="宋体" w:hAnsi="宋体" w:cs="宋体"/>
          <w:color w:val="3E3E3E"/>
          <w:kern w:val="0"/>
          <w:sz w:val="32"/>
          <w:szCs w:val="32"/>
        </w:rPr>
        <w:t>万元</w:t>
      </w:r>
      <w:r>
        <w:rPr>
          <w:rFonts w:hint="eastAsia" w:ascii="宋体" w:hAnsi="宋体" w:cs="宋体"/>
          <w:color w:val="3E3E3E"/>
          <w:kern w:val="0"/>
          <w:sz w:val="32"/>
          <w:szCs w:val="32"/>
          <w:lang w:val="en-US" w:eastAsia="zh-CN"/>
        </w:rPr>
        <w:t>.</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工信局系统</w:t>
      </w:r>
      <w:r>
        <w:rPr>
          <w:rFonts w:ascii="宋体" w:hAnsi="宋体" w:cs="宋体"/>
          <w:color w:val="3E3E3E"/>
          <w:kern w:val="0"/>
          <w:sz w:val="32"/>
          <w:szCs w:val="32"/>
        </w:rPr>
        <w:t>2017</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665.9322</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665.9322</w:t>
      </w:r>
      <w:r>
        <w:rPr>
          <w:rFonts w:hint="eastAsia" w:ascii="宋体" w:hAnsi="宋体" w:cs="宋体"/>
          <w:color w:val="3E3E3E"/>
          <w:kern w:val="0"/>
          <w:sz w:val="32"/>
          <w:szCs w:val="32"/>
        </w:rPr>
        <w:t>万元，政府性基金</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万元，其他收入</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165.0204</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500.9119</w:t>
      </w:r>
      <w:r>
        <w:rPr>
          <w:rFonts w:hint="eastAsia" w:ascii="宋体" w:hAnsi="宋体" w:cs="宋体"/>
          <w:color w:val="3E3E3E"/>
          <w:kern w:val="0"/>
          <w:sz w:val="32"/>
          <w:szCs w:val="32"/>
        </w:rPr>
        <w:t>万元。</w:t>
      </w:r>
    </w:p>
    <w:p>
      <w:pPr>
        <w:spacing w:line="500" w:lineRule="exact"/>
        <w:rPr>
          <w:rFonts w:ascii="宋体" w:cs="Times New Roman"/>
          <w:sz w:val="32"/>
          <w:szCs w:val="32"/>
        </w:rPr>
      </w:pPr>
      <w:r>
        <w:rPr>
          <w:rFonts w:ascii="宋体" w:hAnsi="宋体" w:cs="宋体"/>
          <w:sz w:val="32"/>
          <w:szCs w:val="32"/>
        </w:rPr>
        <w:t xml:space="preserve">   </w:t>
      </w:r>
      <w:r>
        <w:rPr>
          <w:rFonts w:hint="eastAsia" w:ascii="宋体" w:hAnsi="宋体" w:cs="宋体"/>
          <w:sz w:val="32"/>
          <w:szCs w:val="32"/>
          <w:lang w:eastAsia="zh-CN"/>
        </w:rPr>
        <w:t>九</w:t>
      </w:r>
      <w:r>
        <w:rPr>
          <w:rFonts w:hint="eastAsia" w:ascii="宋体" w:hAnsi="宋体" w:cs="宋体"/>
          <w:sz w:val="32"/>
          <w:szCs w:val="32"/>
        </w:rPr>
        <w:t>、国有资产占用情况</w:t>
      </w:r>
    </w:p>
    <w:p>
      <w:pPr>
        <w:spacing w:line="500" w:lineRule="exact"/>
        <w:ind w:firstLine="640" w:firstLineChars="200"/>
        <w:rPr>
          <w:rFonts w:ascii="宋体" w:cs="Times New Roman"/>
          <w:sz w:val="32"/>
          <w:szCs w:val="32"/>
        </w:rPr>
      </w:pPr>
      <w:r>
        <w:rPr>
          <w:rFonts w:hint="eastAsia" w:ascii="宋体" w:hAnsi="宋体" w:cs="宋体"/>
          <w:sz w:val="32"/>
          <w:szCs w:val="32"/>
          <w:lang w:val="en-US" w:eastAsia="zh-CN"/>
        </w:rPr>
        <w:t>2022</w:t>
      </w:r>
      <w:r>
        <w:rPr>
          <w:rFonts w:hint="eastAsia" w:ascii="宋体" w:hAnsi="宋体" w:cs="宋体"/>
          <w:sz w:val="32"/>
          <w:szCs w:val="32"/>
        </w:rPr>
        <w:t>年长春市</w:t>
      </w:r>
      <w:r>
        <w:rPr>
          <w:rFonts w:hint="eastAsia" w:ascii="宋体" w:hAnsi="宋体" w:cs="宋体"/>
          <w:sz w:val="32"/>
          <w:szCs w:val="32"/>
          <w:lang w:eastAsia="zh-CN"/>
        </w:rPr>
        <w:t>二道区英俊镇卫生院</w:t>
      </w:r>
      <w:r>
        <w:rPr>
          <w:rFonts w:hint="eastAsia" w:ascii="宋体" w:hAnsi="宋体" w:cs="宋体"/>
          <w:sz w:val="32"/>
          <w:szCs w:val="32"/>
        </w:rPr>
        <w:t>共有车辆</w:t>
      </w:r>
      <w:r>
        <w:rPr>
          <w:rFonts w:hint="eastAsia" w:ascii="宋体" w:hAnsi="宋体" w:cs="宋体"/>
          <w:sz w:val="32"/>
          <w:szCs w:val="32"/>
          <w:lang w:val="en-US" w:eastAsia="zh-CN"/>
        </w:rPr>
        <w:t>4</w:t>
      </w:r>
      <w:r>
        <w:rPr>
          <w:rFonts w:hint="eastAsia" w:ascii="宋体" w:hAnsi="宋体" w:cs="宋体"/>
          <w:sz w:val="32"/>
          <w:szCs w:val="32"/>
        </w:rPr>
        <w:t>辆。</w:t>
      </w:r>
    </w:p>
    <w:p>
      <w:pPr>
        <w:autoSpaceDE w:val="0"/>
        <w:autoSpaceDN w:val="0"/>
        <w:adjustRightInd w:val="0"/>
        <w:rPr>
          <w:rFonts w:ascii="宋体" w:cs="Times New Roman"/>
          <w:color w:val="3E3E3E"/>
          <w:kern w:val="0"/>
          <w:sz w:val="32"/>
          <w:szCs w:val="32"/>
        </w:rPr>
      </w:pP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一、财政拨款收入：指中央财政当年拨付的资金。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二、事业收入：指事业单位开展专业业务活动及辅助活动所取得的收入。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三、事业单位经营收入：指事业单位在专业业务活动及其辅助活动之外开展非独立核算经营活动取得的收入。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四、其他收入：指除上述“财政拨款收入”、“事业收入”、“事业单位经营收入”等以外的收入。主要是按规定动用的售房收入、存款利息收入等。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六、上年结转：指以前年度尚未完成，结转到本年仍按原规定用途继续使用的资金（预算中为预计数）。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七、结转下年：指以前年度预算安排、因客观条件发生变化无法按原计划实施，需延迟到以后年度按原规定用途继续使用的资金（预算中为预计数）。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八、基本支出：指为保障机构正常运转、完成日常工作任务而发生的人员支出和公用支出。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九、项目支出：指在基本支出之外为完成特定行政任务和事业发展目标所发生的支出。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十、事业单位经营支出：指事业单位在专业业务活动及其辅助活动之外开展非独立核算经营活动发生的支出。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lang w:eastAsia="zh-CN"/>
        </w:rPr>
        <w:t>十一</w:t>
      </w:r>
      <w:r>
        <w:rPr>
          <w:rFonts w:hint="eastAsia" w:ascii="宋体" w:hAnsi="宋体" w:cs="宋体"/>
          <w:kern w:val="0"/>
          <w:sz w:val="32"/>
          <w:szCs w:val="32"/>
        </w:rPr>
        <w:t>、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7F327"/>
    <w:multiLevelType w:val="singleLevel"/>
    <w:tmpl w:val="A1E7F327"/>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xZTc4ODQ5MDZhZThhYTBjMDcwNmU4NjJhM2IzM2E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CFA6E96"/>
    <w:rsid w:val="1FC63FA6"/>
    <w:rsid w:val="21314F4F"/>
    <w:rsid w:val="22057A5E"/>
    <w:rsid w:val="254C2FF9"/>
    <w:rsid w:val="2E42421B"/>
    <w:rsid w:val="33A16F2C"/>
    <w:rsid w:val="36397270"/>
    <w:rsid w:val="39317DFF"/>
    <w:rsid w:val="4AC56A31"/>
    <w:rsid w:val="51444915"/>
    <w:rsid w:val="53C42C27"/>
    <w:rsid w:val="6D5379E1"/>
    <w:rsid w:val="744818A3"/>
    <w:rsid w:val="749862FA"/>
    <w:rsid w:val="764577B7"/>
    <w:rsid w:val="79EF291C"/>
    <w:rsid w:val="7BB63D67"/>
    <w:rsid w:val="7DEB71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 w:type="character" w:customStyle="1" w:styleId="9">
    <w:name w:val="font112"/>
    <w:basedOn w:val="6"/>
    <w:qFormat/>
    <w:uiPriority w:val="0"/>
    <w:rPr>
      <w:rFonts w:hint="default" w:ascii="Times New Roman" w:hAnsi="Times New Roman" w:cs="Times New Roman"/>
      <w:color w:val="000000"/>
      <w:sz w:val="28"/>
      <w:szCs w:val="28"/>
      <w:u w:val="none"/>
    </w:rPr>
  </w:style>
  <w:style w:type="character" w:customStyle="1" w:styleId="10">
    <w:name w:val="font5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5757</Words>
  <Characters>6645</Characters>
  <Lines>0</Lines>
  <Paragraphs>0</Paragraphs>
  <TotalTime>0</TotalTime>
  <ScaleCrop>false</ScaleCrop>
  <LinksUpToDate>false</LinksUpToDate>
  <CharactersWithSpaces>7161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Administrator</cp:lastModifiedBy>
  <dcterms:modified xsi:type="dcterms:W3CDTF">2022-01-04T02:47:18Z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43E3CC1C1B77485FAEF102C89CCB4EC3</vt:lpwstr>
  </property>
</Properties>
</file>