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方正小标宋简体" w:cs="Arial"/>
          <w:sz w:val="44"/>
          <w:szCs w:val="44"/>
          <w:lang w:val="en-US" w:eastAsia="zh-CN"/>
        </w:rPr>
      </w:pPr>
      <w:r>
        <w:rPr>
          <w:rFonts w:hint="eastAsia" w:ascii="Arial" w:hAnsi="Arial" w:eastAsia="方正小标宋简体" w:cs="Arial"/>
          <w:sz w:val="44"/>
          <w:szCs w:val="44"/>
          <w:lang w:val="en-US" w:eastAsia="zh-CN"/>
        </w:rPr>
        <w:t xml:space="preserve"> </w:t>
      </w:r>
      <w:bookmarkStart w:id="0" w:name="_GoBack"/>
      <w:bookmarkEnd w:id="0"/>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Times New Roman"/>
          <w:sz w:val="44"/>
          <w:szCs w:val="44"/>
        </w:rPr>
      </w:pPr>
      <w:r>
        <w:rPr>
          <w:rFonts w:ascii="Arial" w:hAnsi="Arial" w:eastAsia="方正小标宋简体" w:cs="Arial"/>
          <w:sz w:val="44"/>
          <w:szCs w:val="44"/>
        </w:rPr>
        <w:t>2022</w:t>
      </w:r>
      <w:r>
        <w:rPr>
          <w:rFonts w:hint="eastAsia" w:ascii="Arial" w:hAnsi="Arial" w:eastAsia="方正小标宋简体" w:cs="方正小标宋简体"/>
          <w:sz w:val="44"/>
          <w:szCs w:val="44"/>
        </w:rPr>
        <w:t>年中共长春市二道区委党校</w:t>
      </w:r>
    </w:p>
    <w:p>
      <w:pPr>
        <w:jc w:val="center"/>
        <w:rPr>
          <w:rFonts w:ascii="Arial" w:hAnsi="Arial" w:eastAsia="方正小标宋简体" w:cs="方正小标宋简体"/>
          <w:sz w:val="44"/>
          <w:szCs w:val="44"/>
        </w:rPr>
      </w:pP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部门预算公开</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 xml:space="preserve">  2022</w:t>
      </w:r>
      <w:r>
        <w:rPr>
          <w:rFonts w:hint="eastAsia" w:ascii="Arial" w:hAnsi="Arial" w:eastAsia="方正小标宋简体" w:cs="Times New Roman"/>
          <w:sz w:val="44"/>
          <w:szCs w:val="44"/>
        </w:rPr>
        <w:t>年</w:t>
      </w:r>
      <w:r>
        <w:rPr>
          <w:rFonts w:ascii="Arial" w:hAnsi="Arial" w:eastAsia="方正小标宋简体" w:cs="Times New Roman"/>
          <w:sz w:val="44"/>
          <w:szCs w:val="44"/>
        </w:rPr>
        <w:t>1</w:t>
      </w:r>
      <w:r>
        <w:rPr>
          <w:rFonts w:hint="eastAsia" w:ascii="Arial" w:hAnsi="Arial" w:eastAsia="方正小标宋简体" w:cs="Times New Roman"/>
          <w:sz w:val="44"/>
          <w:szCs w:val="44"/>
        </w:rPr>
        <w:t>月</w:t>
      </w:r>
      <w:r>
        <w:rPr>
          <w:rFonts w:ascii="Arial" w:hAnsi="Arial" w:eastAsia="方正小标宋简体" w:cs="Times New Roman"/>
          <w:sz w:val="44"/>
          <w:szCs w:val="44"/>
        </w:rPr>
        <w:t>4</w:t>
      </w:r>
      <w:r>
        <w:rPr>
          <w:rFonts w:hint="eastAsia" w:ascii="Arial" w:hAnsi="Arial" w:eastAsia="方正小标宋简体" w:cs="Times New Roman"/>
          <w:sz w:val="44"/>
          <w:szCs w:val="44"/>
        </w:rPr>
        <w:t>日</w:t>
      </w:r>
    </w:p>
    <w:p>
      <w:pPr>
        <w:jc w:val="center"/>
        <w:rPr>
          <w:rFonts w:ascii="Arial" w:hAnsi="Arial" w:eastAsia="方正小标宋简体" w:cs="Times New Roman"/>
          <w:sz w:val="44"/>
          <w:szCs w:val="44"/>
        </w:rPr>
      </w:pP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2022</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2022</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年部门收入总表情况</w:t>
      </w:r>
    </w:p>
    <w:p>
      <w:pPr>
        <w:spacing w:line="540" w:lineRule="exact"/>
        <w:rPr>
          <w:rFonts w:ascii="宋体" w:cs="Times New Roman"/>
          <w:sz w:val="32"/>
          <w:szCs w:val="32"/>
        </w:rPr>
      </w:pPr>
      <w:r>
        <w:rPr>
          <w:rFonts w:hint="eastAsia" w:ascii="仿宋_GB2312" w:hAnsi="仿宋" w:eastAsia="仿宋_GB2312" w:cs="仿宋_GB2312"/>
          <w:sz w:val="32"/>
          <w:szCs w:val="32"/>
        </w:rPr>
        <w:t>八、</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年部门支出总表情况</w:t>
      </w:r>
    </w:p>
    <w:p>
      <w:pPr>
        <w:spacing w:line="540" w:lineRule="exact"/>
        <w:rPr>
          <w:rFonts w:ascii="宋体" w:cs="Times New Roman"/>
          <w:sz w:val="32"/>
          <w:szCs w:val="32"/>
        </w:rPr>
      </w:pPr>
      <w:r>
        <w:rPr>
          <w:rFonts w:hint="eastAsia" w:ascii="宋体" w:hAnsi="宋体" w:cs="宋体"/>
          <w:sz w:val="32"/>
          <w:szCs w:val="32"/>
        </w:rPr>
        <w:t>九、国有资产占用情况</w:t>
      </w:r>
    </w:p>
    <w:p>
      <w:pPr>
        <w:spacing w:line="540" w:lineRule="exact"/>
        <w:rPr>
          <w:rFonts w:ascii="宋体" w:cs="Times New Roman"/>
          <w:sz w:val="44"/>
          <w:szCs w:val="44"/>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360" w:lineRule="auto"/>
        <w:jc w:val="center"/>
        <w:rPr>
          <w:rFonts w:ascii="宋体" w:cs="Times New Roman"/>
          <w:sz w:val="44"/>
          <w:szCs w:val="44"/>
        </w:rPr>
      </w:pPr>
      <w:r>
        <w:rPr>
          <w:rFonts w:ascii="宋体" w:hAnsi="宋体" w:cs="宋体"/>
          <w:sz w:val="44"/>
          <w:szCs w:val="44"/>
        </w:rPr>
        <w:t>2022</w:t>
      </w:r>
      <w:r>
        <w:rPr>
          <w:rFonts w:hint="eastAsia" w:ascii="宋体" w:hAnsi="宋体" w:cs="宋体"/>
          <w:sz w:val="44"/>
          <w:szCs w:val="44"/>
        </w:rPr>
        <w:t>年度中共长春市二道区委党校</w:t>
      </w:r>
    </w:p>
    <w:p>
      <w:pPr>
        <w:spacing w:line="360" w:lineRule="auto"/>
        <w:jc w:val="center"/>
        <w:rPr>
          <w:rFonts w:ascii="宋体" w:cs="Times New Roman"/>
          <w:color w:val="3E3E3E"/>
          <w:kern w:val="0"/>
          <w:sz w:val="18"/>
          <w:szCs w:val="18"/>
        </w:rPr>
      </w:pPr>
      <w:r>
        <w:rPr>
          <w:rFonts w:hint="eastAsia" w:ascii="宋体" w:hAnsi="宋体" w:cs="宋体"/>
          <w:sz w:val="44"/>
          <w:szCs w:val="44"/>
        </w:rPr>
        <w:t>部门预算</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numPr>
          <w:ilvl w:val="0"/>
          <w:numId w:val="1"/>
        </w:numPr>
        <w:jc w:val="left"/>
        <w:rPr>
          <w:rFonts w:ascii="仿宋" w:hAnsi="仿宋" w:eastAsia="仿宋" w:cs="仿宋"/>
          <w:sz w:val="32"/>
          <w:szCs w:val="32"/>
        </w:rPr>
      </w:pPr>
      <w:r>
        <w:rPr>
          <w:rFonts w:hint="eastAsia" w:ascii="楷体_GB2312" w:hAnsi="楷体_GB2312" w:eastAsia="楷体_GB2312" w:cs="楷体_GB2312"/>
          <w:b/>
          <w:bCs/>
          <w:color w:val="3E3E3E"/>
          <w:kern w:val="0"/>
          <w:sz w:val="32"/>
          <w:szCs w:val="32"/>
        </w:rPr>
        <w:t>主要职责</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区委党校是区委直接领导下培养党员领导干部和理论干部的学校，是区委的一个重要部门，是培训轮训党员领导干部的主渠道，是区政府培训行政管理干部的学校。</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具体工作任务：</w:t>
      </w:r>
    </w:p>
    <w:p>
      <w:pPr>
        <w:widowControl/>
        <w:ind w:firstLine="640" w:firstLineChars="200"/>
        <w:jc w:val="left"/>
        <w:rPr>
          <w:rFonts w:ascii="仿宋" w:hAnsi="仿宋" w:eastAsia="仿宋" w:cs="仿宋"/>
          <w:sz w:val="32"/>
          <w:szCs w:val="32"/>
        </w:rPr>
      </w:pPr>
      <w:r>
        <w:rPr>
          <w:rFonts w:hint="eastAsia" w:ascii="仿宋_GB2312" w:hAnsi="仿宋_GB2312" w:eastAsia="仿宋_GB2312" w:cs="仿宋_GB2312"/>
          <w:kern w:val="0"/>
          <w:sz w:val="32"/>
          <w:szCs w:val="32"/>
        </w:rPr>
        <w:t>（一）培训轮训各级党员领导干部及后备干部，培养理论干部；</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（二）承办区委和政府举办的专题研讨班；</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（三）围绕国际国内和本区经济、社会发展中出现的新情况、新问题及全区中心工作开展科学研究、区情研究和咨询服务；根据上级部门安排开展科研工作；</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（四）针对改革开放和社会主义现代化进程中的重大理论和现实问题，开展马克思主义中国化最新成果的理论宣传，开展党的路线、方针、政策的宣传；</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（五）负责全区国家公务员暨参照《公务员法》管理人员的培训；</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w:t>
      </w:r>
      <w:r>
        <w:rPr>
          <w:rFonts w:hint="eastAsia" w:ascii="仿宋_GB2312" w:hAnsi="仿宋_GB2312" w:eastAsia="仿宋_GB2312" w:cs="仿宋_GB2312"/>
          <w:kern w:val="0"/>
          <w:sz w:val="32"/>
          <w:szCs w:val="32"/>
        </w:rPr>
        <w:t>（六）培训全区统一战线党内、党外干部队伍；</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w:t>
      </w:r>
      <w:r>
        <w:rPr>
          <w:rFonts w:hint="eastAsia" w:ascii="仿宋_GB2312" w:hAnsi="仿宋_GB2312" w:eastAsia="仿宋_GB2312" w:cs="仿宋_GB2312"/>
          <w:kern w:val="0"/>
          <w:sz w:val="32"/>
          <w:szCs w:val="32"/>
        </w:rPr>
        <w:t>（七）发挥教育培训基地作用，为全区各单位各部门提供培训服务；</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（八）做好各项行政工作</w:t>
      </w:r>
      <w:r>
        <w:rPr>
          <w:rFonts w:ascii="仿宋_GB2312" w:hAnsi="仿宋_GB2312" w:eastAsia="仿宋_GB2312" w:cs="仿宋_GB2312"/>
          <w:kern w:val="0"/>
          <w:sz w:val="32"/>
          <w:szCs w:val="32"/>
        </w:rPr>
        <w:t>;</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（九）抓好档案、财务、人事、对外联络和协调工作；负责离、退休人员的管理；</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（十）承办区委和上级交办的其他工作任务。</w:t>
      </w:r>
      <w:r>
        <w:rPr>
          <w:rFonts w:ascii="仿宋" w:hAnsi="仿宋" w:eastAsia="仿宋" w:cs="仿宋"/>
          <w:kern w:val="0"/>
          <w:sz w:val="32"/>
          <w:szCs w:val="32"/>
        </w:rPr>
        <w:t> </w:t>
      </w:r>
    </w:p>
    <w:p>
      <w:pPr>
        <w:widowControl/>
        <w:numPr>
          <w:ilvl w:val="0"/>
          <w:numId w:val="1"/>
        </w:numPr>
        <w:spacing w:before="100" w:beforeAutospacing="1" w:after="100" w:afterAutospacing="1" w:line="360" w:lineRule="auto"/>
        <w:jc w:val="left"/>
        <w:rPr>
          <w:rFonts w:ascii="楷体_GB2312" w:hAnsi="楷体_GB2312" w:eastAsia="楷体_GB2312" w:cs="楷体_GB2312"/>
          <w:b/>
          <w:bCs/>
          <w:color w:val="3E3E3E"/>
          <w:kern w:val="0"/>
          <w:sz w:val="32"/>
          <w:szCs w:val="32"/>
        </w:rPr>
      </w:pPr>
      <w:r>
        <w:rPr>
          <w:rFonts w:hint="eastAsia" w:ascii="楷体_GB2312" w:hAnsi="楷体_GB2312" w:eastAsia="楷体_GB2312" w:cs="楷体_GB2312"/>
          <w:b/>
          <w:bCs/>
          <w:color w:val="3E3E3E"/>
          <w:kern w:val="0"/>
          <w:sz w:val="32"/>
          <w:szCs w:val="32"/>
        </w:rPr>
        <w:t>内设机构</w:t>
      </w:r>
    </w:p>
    <w:p>
      <w:pPr>
        <w:widowControl/>
        <w:jc w:val="left"/>
        <w:rPr>
          <w:rFonts w:ascii="仿宋_GB2312" w:hAnsi="仿宋_GB2312" w:eastAsia="仿宋_GB2312" w:cs="仿宋_GB2312"/>
          <w:color w:val="3E3E3E"/>
          <w:kern w:val="0"/>
          <w:sz w:val="32"/>
          <w:szCs w:val="32"/>
        </w:rPr>
      </w:pPr>
      <w:r>
        <w:rPr>
          <w:rFonts w:ascii="仿宋_GB2312" w:hAnsi="仿宋_GB2312" w:eastAsia="仿宋_GB2312" w:cs="仿宋_GB2312"/>
          <w:color w:val="3E3E3E"/>
          <w:kern w:val="0"/>
          <w:sz w:val="32"/>
          <w:szCs w:val="32"/>
        </w:rPr>
        <w:t xml:space="preserve">    1</w:t>
      </w:r>
      <w:r>
        <w:rPr>
          <w:rFonts w:hint="eastAsia" w:ascii="仿宋_GB2312" w:hAnsi="仿宋_GB2312" w:eastAsia="仿宋_GB2312" w:cs="仿宋_GB2312"/>
          <w:color w:val="3E3E3E"/>
          <w:kern w:val="0"/>
          <w:sz w:val="32"/>
          <w:szCs w:val="32"/>
        </w:rPr>
        <w:t>、行政办公室</w:t>
      </w:r>
    </w:p>
    <w:p>
      <w:pPr>
        <w:widowControl/>
        <w:ind w:firstLine="640" w:firstLineChars="200"/>
        <w:jc w:val="left"/>
        <w:rPr>
          <w:rFonts w:ascii="楷体_GB2312" w:hAnsi="楷体_GB2312" w:eastAsia="楷体_GB2312" w:cs="楷体_GB2312"/>
          <w:b/>
          <w:bCs/>
          <w:color w:val="3E3E3E"/>
          <w:kern w:val="0"/>
          <w:sz w:val="32"/>
          <w:szCs w:val="32"/>
        </w:rPr>
      </w:pPr>
      <w:r>
        <w:rPr>
          <w:rFonts w:hint="eastAsia" w:ascii="仿宋_GB2312" w:hAnsi="仿宋_GB2312" w:eastAsia="仿宋_GB2312" w:cs="仿宋_GB2312"/>
          <w:kern w:val="0"/>
          <w:sz w:val="32"/>
          <w:szCs w:val="32"/>
        </w:rPr>
        <w:t>负责全校的综合管理和后勤服务保障工作；负责日常性公文处理、文件收发传阅、机要保密、印鉴管理、档案管理工作；负责人事编制、职称评聘、离退休干部管理服务、计划生育管理、来信来访处理和对外联络等工作；负责固定资产管理、基础设施建设，负责各类办公、教学设备用品的购置、安装、发放和维修保养等工作；负责信息化管理制度的制定和落实，负责单位互联网的日常管理和安全维护；负责各项包扶工作；负责校内安全保卫和值班工作；完成校领导交办的其他工作。</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2</w:t>
      </w:r>
      <w:r>
        <w:rPr>
          <w:rFonts w:hint="eastAsia" w:ascii="仿宋_GB2312" w:hAnsi="仿宋_GB2312" w:eastAsia="仿宋_GB2312" w:cs="仿宋_GB2312"/>
          <w:kern w:val="0"/>
          <w:sz w:val="32"/>
          <w:szCs w:val="32"/>
        </w:rPr>
        <w:t>．教研室</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教研室主任工作职责为：在上级党校指导下，在主管副校长的领导下，组织并督促全体教学、科研人员完成教研室职责范围内的各项工作任务，并对全体教师进行日常管理和考核评价。</w:t>
      </w:r>
      <w:r>
        <w:rPr>
          <w:rFonts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负责全校的教学、科研工作。研究制订年度和各阶段的干部培训、轮训计划并组织实施；负责培训班的课程设置及教学内容的安排；认真组织教师备课，确保教学任务的圆满完成；建立健全教学、科研的各项规章制度，并保证其执行和落实；制定科研工作计划，组织教师深入开展调研活动，完成重点课题调研工作；负责对外聘请教师及有关教学业务的联系工作，按照教师培养计划，安排好师资培训及教师进修工作；完成领导交办的其他工作。</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3.</w:t>
      </w:r>
      <w:r>
        <w:rPr>
          <w:rFonts w:hint="eastAsia" w:ascii="仿宋_GB2312" w:hAnsi="仿宋_GB2312" w:eastAsia="仿宋_GB2312" w:cs="仿宋_GB2312"/>
          <w:kern w:val="0"/>
          <w:sz w:val="32"/>
          <w:szCs w:val="32"/>
        </w:rPr>
        <w:t>组教科</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负责组织全区学员入学培训工作。做好主体班次以及各层次和类型的短期培训、轮训班的学员管理工作；开展学员入学教育；组织学员开展学习讨论，组织学员撰写党性分析报告、调研文章；建立学籍档案，对学员学籍进行管理；办理学员结业手续，发放结业证书；完成校领导交办的其他工作。</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4.</w:t>
      </w:r>
      <w:r>
        <w:rPr>
          <w:rFonts w:hint="eastAsia" w:ascii="仿宋_GB2312" w:hAnsi="仿宋_GB2312" w:eastAsia="仿宋_GB2312" w:cs="仿宋_GB2312"/>
          <w:kern w:val="0"/>
          <w:sz w:val="32"/>
          <w:szCs w:val="32"/>
        </w:rPr>
        <w:t>财务室</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负责全校的会计核算和财务预决算执行工作以及日常财务管理工作。负责向上级机关编报各种会计报表；负责学校日常财务管理和财会收支工作；负责单位职工住房公积金、医疗保险缴存管理等工作；完成相关部门临时布置的工作任务；完成校领导交办的其他工作。</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5.</w:t>
      </w:r>
      <w:r>
        <w:rPr>
          <w:rFonts w:hint="eastAsia" w:ascii="仿宋_GB2312" w:hAnsi="仿宋_GB2312" w:eastAsia="仿宋_GB2312" w:cs="仿宋_GB2312"/>
          <w:kern w:val="0"/>
          <w:sz w:val="32"/>
          <w:szCs w:val="32"/>
        </w:rPr>
        <w:t>信息资料室</w:t>
      </w:r>
      <w:r>
        <w:rPr>
          <w:rFonts w:ascii="仿宋_GB2312" w:hAnsi="仿宋_GB2312" w:eastAsia="仿宋_GB2312" w:cs="仿宋_GB2312"/>
          <w:kern w:val="0"/>
          <w:sz w:val="32"/>
          <w:szCs w:val="32"/>
        </w:rPr>
        <w:br w:type="textWrapping"/>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负责全校的图书及报纸刊物的管理工作。负责图书的订阅、采购工作；负责图书报刊、资料的登记、分类、整理和保管工作；负责制定图书资料和报刊杂志的借阅及管理规定；完成校领导交办的其他工作。</w:t>
      </w:r>
      <w:r>
        <w:rPr>
          <w:rFonts w:ascii="仿宋" w:hAnsi="仿宋" w:eastAsia="仿宋" w:cs="仿宋"/>
          <w:kern w:val="0"/>
          <w:sz w:val="32"/>
          <w:szCs w:val="32"/>
        </w:rPr>
        <w:br w:type="textWrapping"/>
      </w:r>
      <w:r>
        <w:rPr>
          <w:rFonts w:hint="eastAsia" w:ascii="楷体_GB2312" w:hAnsi="楷体_GB2312" w:eastAsia="楷体_GB2312" w:cs="楷体_GB2312"/>
          <w:kern w:val="0"/>
          <w:sz w:val="32"/>
          <w:szCs w:val="32"/>
        </w:rPr>
        <w:t>三、</w:t>
      </w:r>
      <w:r>
        <w:rPr>
          <w:rFonts w:hint="eastAsia" w:ascii="楷体_GB2312" w:hAnsi="楷体_GB2312" w:eastAsia="楷体_GB2312" w:cs="楷体_GB2312"/>
          <w:b/>
          <w:bCs/>
          <w:color w:val="3E3E3E"/>
          <w:kern w:val="0"/>
          <w:sz w:val="32"/>
          <w:szCs w:val="32"/>
        </w:rPr>
        <w:t>预算单位人员构成情况</w:t>
      </w:r>
    </w:p>
    <w:p>
      <w:pPr>
        <w:widowControl/>
        <w:ind w:firstLine="640" w:firstLineChars="200"/>
        <w:jc w:val="left"/>
        <w:rPr>
          <w:rFonts w:ascii="仿宋_GB2312" w:hAnsi="仿宋_GB2312" w:eastAsia="仿宋_GB2312" w:cs="仿宋_GB2312"/>
          <w:color w:val="3E3E3E"/>
          <w:kern w:val="0"/>
          <w:sz w:val="32"/>
          <w:szCs w:val="32"/>
        </w:rPr>
      </w:pPr>
      <w:r>
        <w:rPr>
          <w:rFonts w:hint="eastAsia" w:ascii="仿宋_GB2312" w:hAnsi="仿宋_GB2312" w:eastAsia="仿宋_GB2312" w:cs="仿宋_GB2312"/>
          <w:color w:val="3E3E3E"/>
          <w:kern w:val="0"/>
          <w:sz w:val="32"/>
          <w:szCs w:val="32"/>
        </w:rPr>
        <w:t>中共长春市二道区委党校现有人员</w:t>
      </w:r>
      <w:r>
        <w:rPr>
          <w:rFonts w:ascii="仿宋_GB2312" w:hAnsi="仿宋_GB2312" w:eastAsia="仿宋_GB2312" w:cs="仿宋_GB2312"/>
          <w:color w:val="3E3E3E"/>
          <w:kern w:val="0"/>
          <w:sz w:val="32"/>
          <w:szCs w:val="32"/>
        </w:rPr>
        <w:t>33</w:t>
      </w:r>
      <w:r>
        <w:rPr>
          <w:rFonts w:hint="eastAsia" w:ascii="仿宋_GB2312" w:hAnsi="仿宋_GB2312" w:eastAsia="仿宋_GB2312" w:cs="仿宋_GB2312"/>
          <w:color w:val="3E3E3E"/>
          <w:kern w:val="0"/>
          <w:sz w:val="32"/>
          <w:szCs w:val="32"/>
        </w:rPr>
        <w:t>人，其中，在职人员</w:t>
      </w:r>
      <w:r>
        <w:rPr>
          <w:rFonts w:ascii="仿宋_GB2312" w:hAnsi="仿宋_GB2312" w:eastAsia="仿宋_GB2312" w:cs="仿宋_GB2312"/>
          <w:color w:val="3E3E3E"/>
          <w:kern w:val="0"/>
          <w:sz w:val="32"/>
          <w:szCs w:val="32"/>
        </w:rPr>
        <w:t>17</w:t>
      </w:r>
      <w:r>
        <w:rPr>
          <w:rFonts w:hint="eastAsia" w:ascii="仿宋_GB2312" w:hAnsi="仿宋_GB2312" w:eastAsia="仿宋_GB2312" w:cs="仿宋_GB2312"/>
          <w:color w:val="3E3E3E"/>
          <w:kern w:val="0"/>
          <w:sz w:val="32"/>
          <w:szCs w:val="32"/>
        </w:rPr>
        <w:t>人，离退休人员</w:t>
      </w:r>
      <w:r>
        <w:rPr>
          <w:rFonts w:ascii="仿宋_GB2312" w:hAnsi="仿宋_GB2312" w:eastAsia="仿宋_GB2312" w:cs="仿宋_GB2312"/>
          <w:color w:val="3E3E3E"/>
          <w:kern w:val="0"/>
          <w:sz w:val="32"/>
          <w:szCs w:val="32"/>
        </w:rPr>
        <w:t>16</w:t>
      </w:r>
      <w:r>
        <w:rPr>
          <w:rFonts w:hint="eastAsia" w:ascii="仿宋_GB2312" w:hAnsi="仿宋_GB2312" w:eastAsia="仿宋_GB2312" w:cs="仿宋_GB2312"/>
          <w:color w:val="3E3E3E"/>
          <w:kern w:val="0"/>
          <w:sz w:val="32"/>
          <w:szCs w:val="32"/>
        </w:rPr>
        <w:t>人。</w:t>
      </w: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ind w:firstLine="640" w:firstLineChars="200"/>
        <w:jc w:val="left"/>
        <w:rPr>
          <w:rFonts w:ascii="仿宋_GB2312" w:hAnsi="仿宋_GB2312" w:eastAsia="仿宋_GB2312" w:cs="仿宋_GB2312"/>
          <w:color w:val="3E3E3E"/>
          <w:kern w:val="0"/>
          <w:sz w:val="32"/>
          <w:szCs w:val="32"/>
        </w:rPr>
      </w:pPr>
    </w:p>
    <w:p>
      <w:pPr>
        <w:widowControl/>
        <w:numPr>
          <w:ilvl w:val="0"/>
          <w:numId w:val="2"/>
        </w:numPr>
        <w:spacing w:before="100" w:beforeAutospacing="1" w:after="100" w:afterAutospacing="1" w:line="360" w:lineRule="auto"/>
        <w:jc w:val="left"/>
        <w:rPr>
          <w:rFonts w:ascii="黑体" w:hAnsi="黑体" w:eastAsia="黑体" w:cs="黑体"/>
          <w:sz w:val="32"/>
          <w:szCs w:val="32"/>
        </w:rPr>
      </w:pPr>
      <w:r>
        <w:rPr>
          <w:rFonts w:ascii="黑体" w:hAnsi="黑体" w:eastAsia="黑体" w:cs="黑体"/>
          <w:sz w:val="32"/>
          <w:szCs w:val="32"/>
        </w:rPr>
        <w:t>2022</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附件：</w: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1.2022</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4104" w:type="dxa"/>
            <w:gridSpan w:val="2"/>
            <w:tcBorders>
              <w:top w:val="nil"/>
              <w:left w:val="nil"/>
              <w:bottom w:val="single" w:color="auto" w:sz="4" w:space="0"/>
              <w:right w:val="nil"/>
            </w:tcBorders>
            <w:vAlign w:val="bottom"/>
          </w:tcPr>
          <w:p>
            <w:pPr>
              <w:widowControl/>
              <w:jc w:val="center"/>
              <w:rPr>
                <w:rFonts w:ascii="宋体" w:cs="Times New Roman"/>
                <w:kern w:val="0"/>
                <w:sz w:val="16"/>
                <w:szCs w:val="16"/>
              </w:rPr>
            </w:pPr>
            <w:r>
              <w:rPr>
                <w:rFonts w:hint="eastAsia" w:ascii="宋体" w:hAnsi="宋体" w:cs="宋体"/>
                <w:kern w:val="0"/>
                <w:sz w:val="16"/>
                <w:szCs w:val="16"/>
              </w:rPr>
              <w:t>部门（单位）名称：中共长春市二道区委党校</w:t>
            </w:r>
          </w:p>
        </w:tc>
        <w:tc>
          <w:tcPr>
            <w:tcW w:w="2081"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00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08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cs="Times New Roman"/>
                <w:color w:val="008000"/>
                <w:kern w:val="0"/>
                <w:sz w:val="16"/>
                <w:szCs w:val="16"/>
              </w:rPr>
              <w:t>325.62</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一、教育支出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ascii="宋体" w:cs="Times New Roman"/>
                <w:b/>
                <w:bCs/>
                <w:color w:val="0000FF"/>
                <w:kern w:val="0"/>
                <w:sz w:val="16"/>
                <w:szCs w:val="16"/>
              </w:rPr>
              <w:t>325.62</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r>
              <w:rPr>
                <w:rFonts w:ascii="宋体" w:cs="Times New Roman"/>
                <w:b/>
                <w:bCs/>
                <w:color w:val="000000"/>
                <w:kern w:val="0"/>
                <w:sz w:val="16"/>
                <w:szCs w:val="16"/>
              </w:rPr>
              <w:t>325.62</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325.62</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ascii="宋体" w:cs="Times New Roman"/>
                <w:b/>
                <w:bCs/>
                <w:color w:val="000000"/>
                <w:kern w:val="0"/>
                <w:sz w:val="16"/>
                <w:szCs w:val="16"/>
              </w:rPr>
              <w:t xml:space="preserve">    </w:t>
            </w:r>
            <w:r>
              <w:rPr>
                <w:rFonts w:hint="eastAsia" w:ascii="宋体" w:cs="Times New Roman"/>
                <w:b/>
                <w:bCs/>
                <w:color w:val="000000"/>
                <w:kern w:val="0"/>
                <w:sz w:val="16"/>
                <w:szCs w:val="16"/>
              </w:rPr>
              <w:t>进修及培训</w:t>
            </w:r>
          </w:p>
        </w:tc>
        <w:tc>
          <w:tcPr>
            <w:tcW w:w="1002" w:type="dxa"/>
            <w:tcBorders>
              <w:top w:val="nil"/>
              <w:left w:val="nil"/>
              <w:bottom w:val="single" w:color="auto" w:sz="4" w:space="0"/>
              <w:right w:val="single" w:color="auto" w:sz="4" w:space="0"/>
            </w:tcBorders>
            <w:vAlign w:val="bottom"/>
          </w:tcPr>
          <w:p>
            <w:pPr>
              <w:widowControl/>
              <w:jc w:val="right"/>
              <w:rPr>
                <w:rFonts w:ascii="宋体" w:cs="宋体"/>
                <w:b/>
                <w:bCs/>
                <w:color w:val="0000FF"/>
                <w:kern w:val="0"/>
                <w:sz w:val="16"/>
                <w:szCs w:val="16"/>
              </w:rPr>
            </w:pPr>
            <w:r>
              <w:rPr>
                <w:rFonts w:ascii="宋体" w:cs="宋体"/>
                <w:b/>
                <w:bCs/>
                <w:color w:val="0000FF"/>
                <w:kern w:val="0"/>
                <w:sz w:val="16"/>
                <w:szCs w:val="16"/>
              </w:rPr>
              <w:t>325.62</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ascii="宋体" w:cs="Times New Roman"/>
                <w:b/>
                <w:bCs/>
                <w:kern w:val="0"/>
                <w:sz w:val="16"/>
                <w:szCs w:val="16"/>
              </w:rPr>
              <w:t>325.62</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宋体"/>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宋体"/>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宋体"/>
                <w:b/>
                <w:bCs/>
                <w:color w:val="000000"/>
                <w:kern w:val="0"/>
                <w:sz w:val="16"/>
                <w:szCs w:val="16"/>
              </w:rPr>
            </w:pP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干部教育</w:t>
            </w:r>
          </w:p>
        </w:tc>
        <w:tc>
          <w:tcPr>
            <w:tcW w:w="1002" w:type="dxa"/>
            <w:tcBorders>
              <w:top w:val="nil"/>
              <w:left w:val="nil"/>
              <w:bottom w:val="single" w:color="auto" w:sz="4" w:space="0"/>
              <w:right w:val="single" w:color="auto" w:sz="4" w:space="0"/>
            </w:tcBorders>
            <w:vAlign w:val="bottom"/>
          </w:tcPr>
          <w:p>
            <w:pPr>
              <w:widowControl/>
              <w:jc w:val="right"/>
              <w:rPr>
                <w:rFonts w:ascii="宋体" w:cs="宋体"/>
                <w:b/>
                <w:bCs/>
                <w:color w:val="0000FF"/>
                <w:kern w:val="0"/>
                <w:sz w:val="16"/>
                <w:szCs w:val="16"/>
              </w:rPr>
            </w:pPr>
            <w:r>
              <w:rPr>
                <w:rFonts w:ascii="宋体" w:cs="宋体"/>
                <w:b/>
                <w:bCs/>
                <w:color w:val="0000FF"/>
                <w:kern w:val="0"/>
                <w:sz w:val="16"/>
                <w:szCs w:val="16"/>
              </w:rPr>
              <w:t>325.62</w:t>
            </w:r>
          </w:p>
        </w:tc>
        <w:tc>
          <w:tcPr>
            <w:tcW w:w="805" w:type="dxa"/>
            <w:tcBorders>
              <w:top w:val="nil"/>
              <w:left w:val="nil"/>
              <w:bottom w:val="single" w:color="auto" w:sz="4" w:space="0"/>
              <w:right w:val="single" w:color="auto" w:sz="4" w:space="0"/>
            </w:tcBorders>
            <w:vAlign w:val="bottom"/>
          </w:tcPr>
          <w:p>
            <w:pPr>
              <w:widowControl/>
              <w:jc w:val="right"/>
              <w:rPr>
                <w:rFonts w:ascii="宋体" w:cs="宋体"/>
                <w:b/>
                <w:bCs/>
                <w:kern w:val="0"/>
                <w:sz w:val="16"/>
                <w:szCs w:val="16"/>
              </w:rPr>
            </w:pPr>
            <w:r>
              <w:rPr>
                <w:rFonts w:ascii="宋体" w:cs="宋体"/>
                <w:b/>
                <w:bCs/>
                <w:kern w:val="0"/>
                <w:sz w:val="16"/>
                <w:szCs w:val="16"/>
              </w:rPr>
              <w:t>325.62</w:t>
            </w:r>
          </w:p>
        </w:tc>
        <w:tc>
          <w:tcPr>
            <w:tcW w:w="805" w:type="dxa"/>
            <w:tcBorders>
              <w:top w:val="nil"/>
              <w:left w:val="nil"/>
              <w:bottom w:val="single" w:color="auto" w:sz="4" w:space="0"/>
              <w:right w:val="single" w:color="auto" w:sz="4" w:space="0"/>
            </w:tcBorders>
            <w:vAlign w:val="bottom"/>
          </w:tcPr>
          <w:p>
            <w:pPr>
              <w:widowControl/>
              <w:jc w:val="right"/>
              <w:rPr>
                <w:rFonts w:ascii="宋体" w:cs="宋体"/>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cs="Times New Roman"/>
                <w:color w:val="008000"/>
                <w:kern w:val="0"/>
                <w:sz w:val="16"/>
                <w:szCs w:val="16"/>
              </w:rPr>
              <w:t>325.62</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cs="Times New Roman"/>
                <w:color w:val="008000"/>
                <w:kern w:val="0"/>
                <w:sz w:val="16"/>
                <w:szCs w:val="16"/>
              </w:rPr>
              <w:t>325.62</w:t>
            </w:r>
          </w:p>
        </w:tc>
        <w:tc>
          <w:tcPr>
            <w:tcW w:w="80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16"/>
                <w:szCs w:val="16"/>
              </w:rPr>
            </w:pPr>
            <w:r>
              <w:rPr>
                <w:rFonts w:ascii="宋体" w:cs="Times New Roman"/>
                <w:color w:val="000000"/>
                <w:kern w:val="0"/>
                <w:sz w:val="16"/>
                <w:szCs w:val="16"/>
              </w:rPr>
              <w:t>325.62</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十、上年结转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转移性支出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结转下年</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财政拨款结余</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其他结转</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cs="Times New Roman"/>
                <w:color w:val="008000"/>
                <w:kern w:val="0"/>
                <w:sz w:val="16"/>
                <w:szCs w:val="16"/>
              </w:rPr>
              <w:t>325.62</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ascii="宋体" w:cs="Times New Roman"/>
                <w:color w:val="008000"/>
                <w:kern w:val="0"/>
                <w:sz w:val="16"/>
                <w:szCs w:val="16"/>
              </w:rPr>
              <w:t>325.62</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ascii="宋体" w:cs="Times New Roman"/>
                <w:b/>
                <w:bCs/>
                <w:color w:val="000000"/>
                <w:kern w:val="0"/>
                <w:sz w:val="16"/>
                <w:szCs w:val="16"/>
              </w:rPr>
              <w:t>325.62</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2.2022</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5"/>
        <w:tblW w:w="8670" w:type="dxa"/>
        <w:tblInd w:w="-106" w:type="dxa"/>
        <w:tblLayout w:type="fixed"/>
        <w:tblCellMar>
          <w:top w:w="0" w:type="dxa"/>
          <w:left w:w="108" w:type="dxa"/>
          <w:bottom w:w="0" w:type="dxa"/>
          <w:right w:w="108" w:type="dxa"/>
        </w:tblCellMar>
      </w:tblPr>
      <w:tblGrid>
        <w:gridCol w:w="7045"/>
        <w:gridCol w:w="1625"/>
      </w:tblGrid>
      <w:tr>
        <w:tblPrEx>
          <w:tblCellMar>
            <w:top w:w="0" w:type="dxa"/>
            <w:left w:w="108" w:type="dxa"/>
            <w:bottom w:w="0" w:type="dxa"/>
            <w:right w:w="108" w:type="dxa"/>
          </w:tblCellMar>
        </w:tblPrEx>
        <w:trPr>
          <w:trHeight w:val="255" w:hRule="atLeast"/>
        </w:trPr>
        <w:tc>
          <w:tcPr>
            <w:tcW w:w="8670"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510" w:hRule="atLeast"/>
        </w:trPr>
        <w:tc>
          <w:tcPr>
            <w:tcW w:w="8670"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670"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部门（单位）名称：中共长春市二道区委党校</w:t>
            </w:r>
            <w:r>
              <w:rPr>
                <w:rFonts w:ascii="Arial" w:hAnsi="Arial" w:cs="Arial"/>
                <w:color w:val="000000"/>
                <w:kern w:val="0"/>
                <w:sz w:val="20"/>
                <w:szCs w:val="20"/>
              </w:rPr>
              <w:t xml:space="preserve">                                 </w:t>
            </w:r>
            <w:r>
              <w:rPr>
                <w:rFonts w:hint="eastAsia" w:ascii="Arial" w:hAnsi="Arial" w:cs="宋体"/>
                <w:color w:val="000000"/>
                <w:kern w:val="0"/>
                <w:sz w:val="20"/>
                <w:szCs w:val="20"/>
              </w:rPr>
              <w:t>单位：万元</w:t>
            </w:r>
            <w:r>
              <w:rPr>
                <w:rFonts w:ascii="Arial" w:hAnsi="Arial" w:cs="Arial"/>
                <w:color w:val="000000"/>
                <w:kern w:val="0"/>
                <w:sz w:val="20"/>
                <w:szCs w:val="20"/>
              </w:rPr>
              <w:t xml:space="preserve">                                                         </w:t>
            </w:r>
          </w:p>
        </w:tc>
      </w:tr>
      <w:tr>
        <w:tblPrEx>
          <w:tblCellMar>
            <w:top w:w="0" w:type="dxa"/>
            <w:left w:w="108" w:type="dxa"/>
            <w:bottom w:w="0" w:type="dxa"/>
            <w:right w:w="108" w:type="dxa"/>
          </w:tblCellMar>
        </w:tblPrEx>
        <w:trPr>
          <w:trHeight w:val="624" w:hRule="atLeast"/>
        </w:trPr>
        <w:tc>
          <w:tcPr>
            <w:tcW w:w="70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一、教育支出（</w:t>
            </w:r>
            <w:r>
              <w:rPr>
                <w:rFonts w:ascii="宋体" w:hAnsi="宋体" w:cs="宋体"/>
                <w:b/>
                <w:bCs/>
                <w:color w:val="000000"/>
                <w:kern w:val="0"/>
                <w:sz w:val="20"/>
                <w:szCs w:val="20"/>
              </w:rPr>
              <w:t>205</w:t>
            </w:r>
            <w:r>
              <w:rPr>
                <w:rFonts w:hint="eastAsia" w:ascii="宋体" w:hAnsi="宋体" w:cs="宋体"/>
                <w:b/>
                <w:bCs/>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rPr>
            </w:pPr>
            <w:r>
              <w:rPr>
                <w:rFonts w:ascii="宋体" w:cs="Times New Roman"/>
                <w:b/>
                <w:bCs/>
                <w:color w:val="0000FF"/>
                <w:kern w:val="0"/>
                <w:sz w:val="22"/>
              </w:rPr>
              <w:t>325.62</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进修及培训（</w:t>
            </w:r>
            <w:r>
              <w:rPr>
                <w:rFonts w:ascii="宋体" w:hAnsi="宋体" w:cs="宋体"/>
                <w:color w:val="000000"/>
                <w:kern w:val="0"/>
                <w:sz w:val="20"/>
                <w:szCs w:val="20"/>
              </w:rPr>
              <w:t>205</w:t>
            </w:r>
            <w:r>
              <w:rPr>
                <w:rFonts w:ascii="宋体" w:cs="宋体"/>
                <w:color w:val="000000"/>
                <w:kern w:val="0"/>
                <w:sz w:val="20"/>
                <w:szCs w:val="20"/>
              </w:rPr>
              <w:t>0</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rPr>
            </w:pPr>
            <w:r>
              <w:rPr>
                <w:rFonts w:ascii="宋体" w:cs="Times New Roman"/>
                <w:color w:val="0000FF"/>
                <w:kern w:val="0"/>
                <w:sz w:val="22"/>
              </w:rPr>
              <w:t>325.62</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　　干部教育（</w:t>
            </w:r>
            <w:r>
              <w:rPr>
                <w:rFonts w:ascii="宋体" w:hAnsi="宋体" w:cs="宋体"/>
                <w:color w:val="000000"/>
                <w:kern w:val="0"/>
                <w:sz w:val="20"/>
                <w:szCs w:val="20"/>
              </w:rPr>
              <w:t>205</w:t>
            </w:r>
            <w:r>
              <w:rPr>
                <w:rFonts w:ascii="宋体" w:cs="宋体"/>
                <w:color w:val="000000"/>
                <w:kern w:val="0"/>
                <w:sz w:val="20"/>
                <w:szCs w:val="20"/>
              </w:rPr>
              <w:t>0</w:t>
            </w:r>
            <w:r>
              <w:rPr>
                <w:rFonts w:ascii="宋体" w:hAnsi="宋体" w:cs="宋体"/>
                <w:color w:val="000000"/>
                <w:kern w:val="0"/>
                <w:sz w:val="20"/>
                <w:szCs w:val="20"/>
              </w:rPr>
              <w:t>8</w:t>
            </w:r>
            <w:r>
              <w:rPr>
                <w:rFonts w:ascii="宋体" w:cs="宋体"/>
                <w:color w:val="000000"/>
                <w:kern w:val="0"/>
                <w:sz w:val="20"/>
                <w:szCs w:val="20"/>
              </w:rPr>
              <w:t>0</w:t>
            </w:r>
            <w:r>
              <w:rPr>
                <w:rFonts w:ascii="宋体" w:hAnsi="宋体" w:cs="宋体"/>
                <w:color w:val="000000"/>
                <w:kern w:val="0"/>
                <w:sz w:val="20"/>
                <w:szCs w:val="20"/>
              </w:rPr>
              <w:t>2</w:t>
            </w:r>
            <w:r>
              <w:rPr>
                <w:rFonts w:hint="eastAsia" w:ascii="宋体" w:hAnsi="宋体" w:cs="宋体"/>
                <w:color w:val="000000"/>
                <w:kern w:val="0"/>
                <w:sz w:val="20"/>
                <w:szCs w:val="20"/>
              </w:rPr>
              <w:t>）</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rPr>
            </w:pPr>
            <w:r>
              <w:rPr>
                <w:rFonts w:ascii="宋体" w:cs="Times New Roman"/>
                <w:color w:val="0000FF"/>
                <w:kern w:val="0"/>
                <w:sz w:val="22"/>
              </w:rPr>
              <w:t>325.62</w:t>
            </w:r>
          </w:p>
        </w:tc>
      </w:tr>
      <w:tr>
        <w:tblPrEx>
          <w:tblCellMar>
            <w:top w:w="0" w:type="dxa"/>
            <w:left w:w="108" w:type="dxa"/>
            <w:bottom w:w="0" w:type="dxa"/>
            <w:right w:w="108" w:type="dxa"/>
          </w:tblCellMar>
        </w:tblPrEx>
        <w:trPr>
          <w:trHeight w:val="285" w:hRule="atLeast"/>
        </w:trPr>
        <w:tc>
          <w:tcPr>
            <w:tcW w:w="704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rPr>
            </w:pPr>
            <w:r>
              <w:rPr>
                <w:rFonts w:ascii="宋体" w:cs="Times New Roman"/>
                <w:b/>
                <w:bCs/>
                <w:color w:val="0000FF"/>
                <w:kern w:val="0"/>
                <w:sz w:val="22"/>
              </w:rPr>
              <w:t>325.62</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3.2022</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W w:w="8620" w:type="dxa"/>
        <w:tblInd w:w="-106" w:type="dxa"/>
        <w:tblLayout w:type="fixed"/>
        <w:tblCellMar>
          <w:top w:w="0" w:type="dxa"/>
          <w:left w:w="108" w:type="dxa"/>
          <w:bottom w:w="0" w:type="dxa"/>
          <w:right w:w="108" w:type="dxa"/>
        </w:tblCellMar>
      </w:tblPr>
      <w:tblGrid>
        <w:gridCol w:w="1094"/>
        <w:gridCol w:w="3496"/>
        <w:gridCol w:w="1360"/>
        <w:gridCol w:w="1440"/>
        <w:gridCol w:w="1230"/>
      </w:tblGrid>
      <w:tr>
        <w:tblPrEx>
          <w:tblCellMar>
            <w:top w:w="0" w:type="dxa"/>
            <w:left w:w="108" w:type="dxa"/>
            <w:bottom w:w="0" w:type="dxa"/>
            <w:right w:w="108" w:type="dxa"/>
          </w:tblCellMar>
        </w:tblPrEx>
        <w:trPr>
          <w:trHeight w:val="522" w:hRule="atLeast"/>
        </w:trPr>
        <w:tc>
          <w:tcPr>
            <w:tcW w:w="459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862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trHeight w:val="522" w:hRule="atLeast"/>
        </w:trPr>
        <w:tc>
          <w:tcPr>
            <w:tcW w:w="109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4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5950" w:type="dxa"/>
            <w:gridSpan w:val="3"/>
            <w:tcBorders>
              <w:top w:val="nil"/>
              <w:left w:val="nil"/>
              <w:bottom w:val="single" w:color="auto" w:sz="4" w:space="0"/>
              <w:right w:val="nil"/>
            </w:tcBorders>
            <w:vAlign w:val="bottom"/>
          </w:tcPr>
          <w:p>
            <w:pPr>
              <w:widowControl/>
              <w:rPr>
                <w:rFonts w:ascii="宋体" w:cs="Times New Roman"/>
                <w:color w:val="000000"/>
                <w:kern w:val="0"/>
                <w:sz w:val="24"/>
                <w:szCs w:val="24"/>
              </w:rPr>
            </w:pPr>
            <w:r>
              <w:rPr>
                <w:rFonts w:hint="eastAsia" w:ascii="宋体" w:hAnsi="宋体" w:cs="宋体"/>
                <w:color w:val="000000"/>
                <w:kern w:val="0"/>
                <w:sz w:val="24"/>
                <w:szCs w:val="24"/>
              </w:rPr>
              <w:t>部门（单位）名称：中共长春市二道区委党校</w:t>
            </w:r>
          </w:p>
        </w:tc>
        <w:tc>
          <w:tcPr>
            <w:tcW w:w="1440" w:type="dxa"/>
            <w:tcBorders>
              <w:top w:val="nil"/>
              <w:left w:val="nil"/>
              <w:bottom w:val="nil"/>
              <w:right w:val="nil"/>
            </w:tcBorders>
            <w:vAlign w:val="bottom"/>
          </w:tcPr>
          <w:p>
            <w:pPr>
              <w:widowControl/>
              <w:jc w:val="center"/>
              <w:rPr>
                <w:rFonts w:ascii="宋体" w:cs="Times New Roman"/>
                <w:color w:val="000000"/>
                <w:kern w:val="0"/>
                <w:sz w:val="24"/>
                <w:szCs w:val="24"/>
              </w:rPr>
            </w:pPr>
          </w:p>
        </w:tc>
        <w:tc>
          <w:tcPr>
            <w:tcW w:w="1230" w:type="dxa"/>
            <w:tcBorders>
              <w:top w:val="nil"/>
              <w:left w:val="nil"/>
              <w:bottom w:val="nil"/>
              <w:right w:val="nil"/>
            </w:tcBorders>
            <w:vAlign w:val="bottom"/>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单位万元</w:t>
            </w:r>
          </w:p>
        </w:tc>
      </w:tr>
      <w:tr>
        <w:tblPrEx>
          <w:tblCellMar>
            <w:top w:w="0" w:type="dxa"/>
            <w:left w:w="108" w:type="dxa"/>
            <w:bottom w:w="0" w:type="dxa"/>
            <w:right w:w="108" w:type="dxa"/>
          </w:tblCellMar>
        </w:tblPrEx>
        <w:trPr>
          <w:trHeight w:val="522" w:hRule="atLeast"/>
        </w:trPr>
        <w:tc>
          <w:tcPr>
            <w:tcW w:w="4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经济分类</w:t>
            </w:r>
          </w:p>
        </w:tc>
        <w:tc>
          <w:tcPr>
            <w:tcW w:w="403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ascii="宋体" w:hAnsi="宋体" w:cs="宋体"/>
                <w:color w:val="000000"/>
                <w:kern w:val="0"/>
                <w:sz w:val="22"/>
                <w:szCs w:val="22"/>
              </w:rPr>
              <w:t>2022</w:t>
            </w:r>
            <w:r>
              <w:rPr>
                <w:rFonts w:hint="eastAsia" w:ascii="宋体" w:hAnsi="宋体" w:cs="宋体"/>
                <w:color w:val="000000"/>
                <w:kern w:val="0"/>
                <w:sz w:val="22"/>
                <w:szCs w:val="22"/>
              </w:rPr>
              <w:t>年基本支出</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科目编码</w:t>
            </w:r>
          </w:p>
        </w:tc>
        <w:tc>
          <w:tcPr>
            <w:tcW w:w="349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科目名称</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合计</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人员经费</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工资福利支出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ascii="宋体" w:cs="Times New Roman"/>
                <w:b/>
                <w:bCs/>
                <w:color w:val="000000"/>
                <w:kern w:val="0"/>
                <w:sz w:val="24"/>
                <w:szCs w:val="24"/>
              </w:rPr>
              <w:t>211.37</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ascii="宋体" w:cs="Times New Roman"/>
                <w:b/>
                <w:bCs/>
                <w:color w:val="000000"/>
                <w:kern w:val="0"/>
                <w:sz w:val="24"/>
                <w:szCs w:val="24"/>
              </w:rPr>
              <w:t>211.37</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基本工资</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73.20</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73.20</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30102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津贴补贴</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97.34</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97.34</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ascii="宋体" w:hAnsi="宋体" w:cs="宋体"/>
                <w:color w:val="000000"/>
                <w:kern w:val="0"/>
                <w:sz w:val="24"/>
                <w:szCs w:val="24"/>
              </w:rPr>
              <w:t>30103</w:t>
            </w:r>
          </w:p>
        </w:tc>
        <w:tc>
          <w:tcPr>
            <w:tcW w:w="349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奖金</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6.53</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6.53</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ascii="宋体" w:hAnsi="宋体" w:cs="宋体"/>
                <w:color w:val="000000"/>
                <w:kern w:val="0"/>
                <w:sz w:val="24"/>
                <w:szCs w:val="24"/>
              </w:rPr>
              <w:t>30108</w:t>
            </w:r>
          </w:p>
        </w:tc>
        <w:tc>
          <w:tcPr>
            <w:tcW w:w="349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养老保险单位承担部分</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20.00</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20.00</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ascii="宋体" w:hAnsi="宋体" w:cs="宋体"/>
                <w:color w:val="000000"/>
                <w:kern w:val="0"/>
                <w:sz w:val="24"/>
                <w:szCs w:val="24"/>
              </w:rPr>
              <w:t>30110</w:t>
            </w:r>
          </w:p>
        </w:tc>
        <w:tc>
          <w:tcPr>
            <w:tcW w:w="349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医疗保险单位承担部分</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13.40</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13.40</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ascii="宋体" w:hAnsi="宋体" w:cs="宋体"/>
                <w:color w:val="000000"/>
                <w:kern w:val="0"/>
                <w:sz w:val="24"/>
                <w:szCs w:val="24"/>
              </w:rPr>
              <w:t>30112</w:t>
            </w:r>
          </w:p>
        </w:tc>
        <w:tc>
          <w:tcPr>
            <w:tcW w:w="349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失业保险单位承担部分</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0.90</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0.90</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商品和服务支出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ascii="宋体" w:cs="Times New Roman"/>
                <w:b/>
                <w:bCs/>
                <w:color w:val="000000"/>
                <w:kern w:val="0"/>
                <w:sz w:val="24"/>
                <w:szCs w:val="24"/>
              </w:rPr>
              <w:t>26.58</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4"/>
                <w:szCs w:val="24"/>
              </w:rPr>
            </w:pPr>
            <w:r>
              <w:rPr>
                <w:rFonts w:ascii="宋体" w:cs="Times New Roman"/>
                <w:b/>
                <w:bCs/>
                <w:color w:val="000000"/>
                <w:kern w:val="0"/>
                <w:sz w:val="24"/>
                <w:szCs w:val="24"/>
              </w:rPr>
              <w:t>26.58</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办公费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13.09</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13.09</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30211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其他交通费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13.49</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13.49</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对个人和家庭补助经费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color w:val="000000"/>
                <w:kern w:val="0"/>
                <w:sz w:val="24"/>
                <w:szCs w:val="24"/>
              </w:rPr>
            </w:pPr>
            <w:r>
              <w:rPr>
                <w:rFonts w:ascii="宋体" w:cs="Times New Roman"/>
                <w:b/>
                <w:color w:val="000000"/>
                <w:kern w:val="0"/>
                <w:sz w:val="24"/>
                <w:szCs w:val="24"/>
              </w:rPr>
              <w:t>15.87</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color w:val="000000"/>
                <w:kern w:val="0"/>
                <w:sz w:val="24"/>
                <w:szCs w:val="24"/>
              </w:rPr>
            </w:pPr>
            <w:r>
              <w:rPr>
                <w:rFonts w:ascii="宋体" w:cs="Times New Roman"/>
                <w:b/>
                <w:color w:val="000000"/>
                <w:kern w:val="0"/>
                <w:sz w:val="24"/>
                <w:szCs w:val="24"/>
              </w:rPr>
              <w:t>15.87</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30301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离休费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12.22</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12.22</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4"/>
                <w:szCs w:val="24"/>
              </w:rPr>
            </w:pPr>
            <w:r>
              <w:rPr>
                <w:rFonts w:ascii="宋体" w:hAnsi="宋体" w:cs="宋体"/>
                <w:color w:val="000000"/>
                <w:kern w:val="0"/>
                <w:sz w:val="24"/>
                <w:szCs w:val="24"/>
              </w:rPr>
              <w:t>30302</w:t>
            </w:r>
          </w:p>
        </w:tc>
        <w:tc>
          <w:tcPr>
            <w:tcW w:w="349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退休费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3.65</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r>
              <w:rPr>
                <w:rFonts w:ascii="宋体" w:cs="Times New Roman"/>
                <w:color w:val="000000"/>
                <w:kern w:val="0"/>
                <w:sz w:val="24"/>
                <w:szCs w:val="24"/>
              </w:rPr>
              <w:t>3.65</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4"/>
                <w:szCs w:val="24"/>
              </w:rPr>
            </w:pPr>
          </w:p>
        </w:tc>
      </w:tr>
      <w:tr>
        <w:tblPrEx>
          <w:tblCellMar>
            <w:top w:w="0" w:type="dxa"/>
            <w:left w:w="108" w:type="dxa"/>
            <w:bottom w:w="0" w:type="dxa"/>
            <w:right w:w="108" w:type="dxa"/>
          </w:tblCellMar>
        </w:tblPrEx>
        <w:trPr>
          <w:trHeight w:val="510" w:hRule="atLeast"/>
        </w:trPr>
        <w:tc>
          <w:tcPr>
            <w:tcW w:w="459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合</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计</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8"/>
                <w:szCs w:val="28"/>
              </w:rPr>
            </w:pPr>
            <w:r>
              <w:rPr>
                <w:rFonts w:ascii="宋体" w:cs="Times New Roman"/>
                <w:b/>
                <w:bCs/>
                <w:color w:val="000000"/>
                <w:kern w:val="0"/>
                <w:sz w:val="28"/>
                <w:szCs w:val="28"/>
              </w:rPr>
              <w:t>253.82</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8"/>
                <w:szCs w:val="28"/>
              </w:rPr>
            </w:pPr>
            <w:r>
              <w:rPr>
                <w:rFonts w:ascii="宋体" w:cs="Times New Roman"/>
                <w:b/>
                <w:bCs/>
                <w:color w:val="000000"/>
                <w:kern w:val="0"/>
                <w:sz w:val="28"/>
                <w:szCs w:val="28"/>
              </w:rPr>
              <w:t>227.24</w:t>
            </w:r>
          </w:p>
        </w:tc>
        <w:tc>
          <w:tcPr>
            <w:tcW w:w="1230" w:type="dxa"/>
            <w:tcBorders>
              <w:top w:val="nil"/>
              <w:left w:val="nil"/>
              <w:bottom w:val="single" w:color="auto" w:sz="4" w:space="0"/>
              <w:right w:val="single" w:color="auto" w:sz="4" w:space="0"/>
            </w:tcBorders>
            <w:vAlign w:val="bottom"/>
          </w:tcPr>
          <w:p>
            <w:pPr>
              <w:widowControl/>
              <w:jc w:val="right"/>
              <w:rPr>
                <w:rFonts w:ascii="宋体" w:cs="Arial"/>
                <w:b/>
                <w:bCs/>
                <w:color w:val="000000"/>
                <w:kern w:val="0"/>
                <w:sz w:val="28"/>
                <w:szCs w:val="28"/>
              </w:rPr>
            </w:pPr>
            <w:r>
              <w:rPr>
                <w:rFonts w:ascii="宋体" w:hAnsi="宋体" w:cs="Arial"/>
                <w:b/>
                <w:bCs/>
                <w:color w:val="000000"/>
                <w:kern w:val="0"/>
                <w:sz w:val="28"/>
                <w:szCs w:val="28"/>
              </w:rPr>
              <w:t>26.58</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4.2022</w:t>
      </w:r>
      <w:r>
        <w:rPr>
          <w:rFonts w:hint="eastAsia" w:ascii="宋体" w:hAnsi="宋体" w:cs="宋体"/>
          <w:color w:val="3E3E3E"/>
          <w:kern w:val="0"/>
          <w:sz w:val="32"/>
          <w:szCs w:val="32"/>
        </w:rPr>
        <w:t>预算“三公经费”支出表</w:t>
      </w:r>
      <w:r>
        <w:rPr>
          <w:rFonts w:hint="eastAsia" w:ascii="宋体" w:hAnsi="宋体" w:cs="宋体"/>
          <w:color w:val="3E3E3E"/>
          <w:kern w:val="0"/>
          <w:sz w:val="32"/>
          <w:szCs w:val="32"/>
        </w:rPr>
        <w:fldChar w:fldCharType="end"/>
      </w:r>
    </w:p>
    <w:tbl>
      <w:tblPr>
        <w:tblStyle w:val="5"/>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部门（单位）名称：中共长春市二道区委党校</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92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2022</w:t>
            </w:r>
            <w:r>
              <w:rPr>
                <w:rFonts w:hint="eastAsia" w:ascii="宋体" w:hAnsi="宋体" w:cs="宋体"/>
                <w:b/>
                <w:bCs/>
                <w:color w:val="000000"/>
                <w:kern w:val="0"/>
                <w:sz w:val="18"/>
                <w:szCs w:val="18"/>
              </w:rPr>
              <w:t>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2021</w:t>
            </w:r>
            <w:r>
              <w:rPr>
                <w:rFonts w:hint="eastAsia" w:ascii="宋体" w:hAnsi="宋体" w:cs="宋体"/>
                <w:b/>
                <w:bCs/>
                <w:color w:val="000000"/>
                <w:kern w:val="0"/>
                <w:sz w:val="18"/>
                <w:szCs w:val="18"/>
              </w:rPr>
              <w:t>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计</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100" w:type="dxa"/>
            <w:gridSpan w:val="2"/>
            <w:tcBorders>
              <w:top w:val="single" w:color="auto" w:sz="4" w:space="0"/>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1</w:t>
            </w:r>
            <w:r>
              <w:rPr>
                <w:rFonts w:hint="eastAsia" w:ascii="宋体" w:hAnsi="宋体" w:cs="宋体"/>
                <w:color w:val="000000"/>
                <w:kern w:val="0"/>
                <w:sz w:val="18"/>
                <w:szCs w:val="18"/>
              </w:rPr>
              <w:t>个预算单位。</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ascii="Times New Roman" w:hAnsi="Times New Roman" w:cs="Times New Roman"/>
                <w:color w:val="000000"/>
                <w:kern w:val="0"/>
                <w:sz w:val="18"/>
                <w:szCs w:val="18"/>
              </w:rPr>
              <w:t xml:space="preserve"> 33</w:t>
            </w:r>
            <w:r>
              <w:rPr>
                <w:rFonts w:hint="eastAsia" w:ascii="宋体" w:hAnsi="宋体" w:cs="宋体"/>
                <w:color w:val="000000"/>
                <w:kern w:val="0"/>
                <w:sz w:val="18"/>
                <w:szCs w:val="18"/>
              </w:rPr>
              <w:t>，其中：在职人员</w:t>
            </w:r>
            <w:r>
              <w:rPr>
                <w:rFonts w:ascii="Times New Roman" w:hAnsi="Times New Roman" w:cs="Times New Roman"/>
                <w:color w:val="000000"/>
                <w:kern w:val="0"/>
                <w:sz w:val="18"/>
                <w:szCs w:val="18"/>
              </w:rPr>
              <w:t xml:space="preserve"> 17</w:t>
            </w:r>
            <w:r>
              <w:rPr>
                <w:rFonts w:hint="eastAsia" w:ascii="宋体" w:hAnsi="宋体" w:cs="宋体"/>
                <w:color w:val="000000"/>
                <w:kern w:val="0"/>
                <w:sz w:val="18"/>
                <w:szCs w:val="18"/>
              </w:rPr>
              <w:t>人，离退休人员</w:t>
            </w:r>
            <w:r>
              <w:rPr>
                <w:rFonts w:ascii="Times New Roman" w:hAnsi="Times New Roman" w:cs="Times New Roman"/>
                <w:color w:val="000000"/>
                <w:kern w:val="0"/>
                <w:sz w:val="18"/>
                <w:szCs w:val="18"/>
              </w:rPr>
              <w:t>16</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5.2022</w:t>
      </w:r>
      <w:r>
        <w:rPr>
          <w:rFonts w:hint="eastAsia" w:ascii="宋体" w:hAnsi="宋体" w:cs="宋体"/>
          <w:color w:val="3E3E3E"/>
          <w:kern w:val="0"/>
          <w:sz w:val="32"/>
          <w:szCs w:val="32"/>
        </w:rPr>
        <w:t>预算基金支出表</w:t>
      </w:r>
      <w:r>
        <w:rPr>
          <w:rFonts w:hint="eastAsia" w:ascii="宋体" w:hAnsi="宋体" w:cs="宋体"/>
          <w:color w:val="3E3E3E"/>
          <w:kern w:val="0"/>
          <w:sz w:val="32"/>
          <w:szCs w:val="32"/>
        </w:rPr>
        <w:fldChar w:fldCharType="end"/>
      </w:r>
    </w:p>
    <w:tbl>
      <w:tblPr>
        <w:tblStyle w:val="5"/>
        <w:tblW w:w="8630" w:type="dxa"/>
        <w:tblInd w:w="-106" w:type="dxa"/>
        <w:tblLayout w:type="fixed"/>
        <w:tblCellMar>
          <w:top w:w="0" w:type="dxa"/>
          <w:left w:w="108" w:type="dxa"/>
          <w:bottom w:w="0" w:type="dxa"/>
          <w:right w:w="108" w:type="dxa"/>
        </w:tblCellMar>
      </w:tblPr>
      <w:tblGrid>
        <w:gridCol w:w="1783"/>
        <w:gridCol w:w="2607"/>
        <w:gridCol w:w="1400"/>
        <w:gridCol w:w="1480"/>
        <w:gridCol w:w="1360"/>
      </w:tblGrid>
      <w:tr>
        <w:tblPrEx>
          <w:tblCellMar>
            <w:top w:w="0" w:type="dxa"/>
            <w:left w:w="108" w:type="dxa"/>
            <w:bottom w:w="0" w:type="dxa"/>
            <w:right w:w="108" w:type="dxa"/>
          </w:tblCellMar>
        </w:tblPrEx>
        <w:trPr>
          <w:trHeight w:val="420" w:hRule="atLeast"/>
        </w:trPr>
        <w:tc>
          <w:tcPr>
            <w:tcW w:w="1783"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0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8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0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4390" w:type="dxa"/>
            <w:gridSpan w:val="2"/>
            <w:tcBorders>
              <w:top w:val="nil"/>
              <w:left w:val="nil"/>
              <w:bottom w:val="single" w:color="auto" w:sz="4" w:space="0"/>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部门（单位）名称：中共长春市二道区委党校</w:t>
            </w:r>
          </w:p>
        </w:tc>
        <w:tc>
          <w:tcPr>
            <w:tcW w:w="140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8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科目编码</w:t>
            </w:r>
          </w:p>
        </w:tc>
        <w:tc>
          <w:tcPr>
            <w:tcW w:w="260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rPr>
            </w:pPr>
          </w:p>
        </w:tc>
        <w:tc>
          <w:tcPr>
            <w:tcW w:w="2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83"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rPr>
            </w:pPr>
          </w:p>
        </w:tc>
        <w:tc>
          <w:tcPr>
            <w:tcW w:w="26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83"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83"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rPr>
            </w:pPr>
          </w:p>
        </w:tc>
        <w:tc>
          <w:tcPr>
            <w:tcW w:w="26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r>
        <w:tblPrEx>
          <w:tblCellMar>
            <w:top w:w="0" w:type="dxa"/>
            <w:left w:w="108" w:type="dxa"/>
            <w:bottom w:w="0" w:type="dxa"/>
            <w:right w:w="108" w:type="dxa"/>
          </w:tblCellMar>
        </w:tblPrEx>
        <w:trPr>
          <w:trHeight w:val="345" w:hRule="atLeast"/>
        </w:trPr>
        <w:tc>
          <w:tcPr>
            <w:tcW w:w="1783"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rPr>
            </w:pPr>
            <w:r>
              <w:rPr>
                <w:rFonts w:hint="eastAsia" w:ascii="宋体" w:hAnsi="宋体" w:cs="宋体"/>
                <w:b/>
                <w:bCs/>
                <w:color w:val="000000"/>
                <w:kern w:val="0"/>
                <w:sz w:val="22"/>
                <w:szCs w:val="22"/>
              </w:rPr>
              <w:t>合计</w:t>
            </w:r>
          </w:p>
        </w:tc>
        <w:tc>
          <w:tcPr>
            <w:tcW w:w="260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rPr>
            </w:pP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6.2022</w:t>
      </w:r>
      <w:r>
        <w:rPr>
          <w:rFonts w:hint="eastAsia" w:ascii="宋体" w:hAnsi="宋体" w:cs="宋体"/>
          <w:color w:val="3E3E3E"/>
          <w:kern w:val="0"/>
          <w:sz w:val="32"/>
          <w:szCs w:val="32"/>
        </w:rPr>
        <w:t>预算部门收支总表</w:t>
      </w:r>
      <w:r>
        <w:rPr>
          <w:rFonts w:hint="eastAsia" w:ascii="宋体" w:hAnsi="宋体" w:cs="宋体"/>
          <w:color w:val="3E3E3E"/>
          <w:kern w:val="0"/>
          <w:sz w:val="32"/>
          <w:szCs w:val="32"/>
        </w:rPr>
        <w:fldChar w:fldCharType="end"/>
      </w:r>
    </w:p>
    <w:tbl>
      <w:tblPr>
        <w:tblStyle w:val="5"/>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部门（单位）名称：中共长春市二道区委党校</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r>
              <w:rPr>
                <w:rFonts w:ascii="宋体" w:cs="Times New Roman"/>
                <w:color w:val="000000"/>
                <w:kern w:val="0"/>
                <w:sz w:val="18"/>
                <w:szCs w:val="18"/>
              </w:rPr>
              <w:t>325.62</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cs="Times New Roman"/>
                <w:color w:val="000000"/>
                <w:kern w:val="0"/>
                <w:sz w:val="18"/>
                <w:szCs w:val="18"/>
              </w:rPr>
              <w:t>一、教育支出</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r>
              <w:rPr>
                <w:rFonts w:ascii="宋体" w:cs="Times New Roman"/>
                <w:color w:val="000000"/>
                <w:kern w:val="0"/>
                <w:sz w:val="18"/>
                <w:szCs w:val="18"/>
              </w:rPr>
              <w:t>325.62</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二、政府性基金预算财政拨款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三、事业收入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四、经营收入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五、其他收入</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本年收入合计</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ascii="宋体" w:cs="Times New Roman"/>
                <w:color w:val="000000"/>
                <w:kern w:val="0"/>
                <w:sz w:val="18"/>
                <w:szCs w:val="18"/>
              </w:rPr>
              <w:t>325.62</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本年支出合计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ascii="宋体" w:cs="Times New Roman"/>
                <w:color w:val="000000"/>
                <w:kern w:val="0"/>
                <w:sz w:val="18"/>
                <w:szCs w:val="18"/>
              </w:rPr>
              <w:t>325.62</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结转下年</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502"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收入总计</w:t>
            </w:r>
          </w:p>
        </w:tc>
        <w:tc>
          <w:tcPr>
            <w:tcW w:w="1417" w:type="dxa"/>
            <w:gridSpan w:val="2"/>
            <w:tcBorders>
              <w:top w:val="nil"/>
              <w:left w:val="nil"/>
              <w:bottom w:val="single" w:color="auto" w:sz="4" w:space="0"/>
              <w:right w:val="single" w:color="auto" w:sz="4" w:space="0"/>
            </w:tcBorders>
            <w:vAlign w:val="bottom"/>
          </w:tcPr>
          <w:p>
            <w:pPr>
              <w:widowControl/>
              <w:jc w:val="right"/>
              <w:rPr>
                <w:rFonts w:ascii="黑体" w:hAnsi="黑体" w:eastAsia="黑体" w:cs="黑体"/>
                <w:b/>
                <w:bCs/>
                <w:color w:val="000000"/>
                <w:kern w:val="0"/>
                <w:sz w:val="18"/>
                <w:szCs w:val="18"/>
              </w:rPr>
            </w:pPr>
            <w:r>
              <w:rPr>
                <w:rFonts w:ascii="宋体" w:cs="Times New Roman"/>
                <w:color w:val="000000"/>
                <w:kern w:val="0"/>
                <w:sz w:val="18"/>
                <w:szCs w:val="18"/>
              </w:rPr>
              <w:t>325.62</w:t>
            </w:r>
          </w:p>
        </w:tc>
        <w:tc>
          <w:tcPr>
            <w:tcW w:w="2835" w:type="dxa"/>
            <w:gridSpan w:val="2"/>
            <w:tcBorders>
              <w:top w:val="nil"/>
              <w:left w:val="nil"/>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ascii="宋体" w:cs="Times New Roman"/>
                <w:color w:val="000000"/>
                <w:kern w:val="0"/>
                <w:sz w:val="18"/>
                <w:szCs w:val="18"/>
              </w:rPr>
              <w:t>325.62</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7.2022</w:t>
      </w:r>
      <w:r>
        <w:rPr>
          <w:rFonts w:hint="eastAsia" w:ascii="宋体" w:hAnsi="宋体" w:cs="宋体"/>
          <w:color w:val="3E3E3E"/>
          <w:kern w:val="0"/>
          <w:sz w:val="32"/>
          <w:szCs w:val="32"/>
        </w:rPr>
        <w:t>部门收入总表表</w:t>
      </w:r>
      <w:r>
        <w:rPr>
          <w:rFonts w:hint="eastAsia" w:ascii="宋体" w:hAnsi="宋体" w:cs="宋体"/>
          <w:color w:val="3E3E3E"/>
          <w:kern w:val="0"/>
          <w:sz w:val="32"/>
          <w:szCs w:val="32"/>
        </w:rPr>
        <w:fldChar w:fldCharType="end"/>
      </w:r>
    </w:p>
    <w:tbl>
      <w:tblPr>
        <w:tblStyle w:val="5"/>
        <w:tblW w:w="9515" w:type="dxa"/>
        <w:tblInd w:w="-106" w:type="dxa"/>
        <w:tblLayout w:type="fixed"/>
        <w:tblCellMar>
          <w:top w:w="0" w:type="dxa"/>
          <w:left w:w="108" w:type="dxa"/>
          <w:bottom w:w="0" w:type="dxa"/>
          <w:right w:w="108" w:type="dxa"/>
        </w:tblCellMar>
      </w:tblPr>
      <w:tblGrid>
        <w:gridCol w:w="636"/>
        <w:gridCol w:w="2830"/>
        <w:gridCol w:w="636"/>
        <w:gridCol w:w="636"/>
        <w:gridCol w:w="636"/>
        <w:gridCol w:w="576"/>
        <w:gridCol w:w="516"/>
        <w:gridCol w:w="391"/>
        <w:gridCol w:w="457"/>
        <w:gridCol w:w="337"/>
        <w:gridCol w:w="516"/>
        <w:gridCol w:w="337"/>
        <w:gridCol w:w="337"/>
        <w:gridCol w:w="337"/>
        <w:gridCol w:w="337"/>
      </w:tblGrid>
      <w:tr>
        <w:tblPrEx>
          <w:tblCellMar>
            <w:top w:w="0" w:type="dxa"/>
            <w:left w:w="108" w:type="dxa"/>
            <w:bottom w:w="0" w:type="dxa"/>
            <w:right w:w="108" w:type="dxa"/>
          </w:tblCellMar>
        </w:tblPrEx>
        <w:trPr>
          <w:trHeight w:val="255" w:hRule="atLeast"/>
        </w:trPr>
        <w:tc>
          <w:tcPr>
            <w:tcW w:w="4102" w:type="dxa"/>
            <w:gridSpan w:val="3"/>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576"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9515" w:type="dxa"/>
            <w:gridSpan w:val="15"/>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r>
      <w:tr>
        <w:tblPrEx>
          <w:tblCellMar>
            <w:top w:w="0" w:type="dxa"/>
            <w:left w:w="108" w:type="dxa"/>
            <w:bottom w:w="0" w:type="dxa"/>
            <w:right w:w="108" w:type="dxa"/>
          </w:tblCellMar>
        </w:tblPrEx>
        <w:trPr>
          <w:trHeight w:val="330" w:hRule="atLeast"/>
        </w:trPr>
        <w:tc>
          <w:tcPr>
            <w:tcW w:w="4738" w:type="dxa"/>
            <w:gridSpan w:val="4"/>
            <w:tcBorders>
              <w:top w:val="nil"/>
              <w:left w:val="nil"/>
              <w:bottom w:val="single" w:color="auto" w:sz="4" w:space="0"/>
              <w:right w:val="nil"/>
            </w:tcBorders>
            <w:vAlign w:val="bottom"/>
          </w:tcPr>
          <w:p>
            <w:pPr>
              <w:widowControl/>
              <w:jc w:val="left"/>
              <w:rPr>
                <w:rFonts w:ascii="宋体" w:cs="Times New Roman"/>
                <w:kern w:val="0"/>
                <w:sz w:val="12"/>
                <w:szCs w:val="12"/>
              </w:rPr>
            </w:pPr>
            <w:r>
              <w:rPr>
                <w:rFonts w:hint="eastAsia" w:ascii="宋体" w:hAnsi="宋体" w:cs="宋体"/>
                <w:kern w:val="0"/>
                <w:sz w:val="12"/>
                <w:szCs w:val="12"/>
              </w:rPr>
              <w:t>部门（单位）名称：中共长春市二道区委党校</w:t>
            </w:r>
          </w:p>
        </w:tc>
        <w:tc>
          <w:tcPr>
            <w:tcW w:w="63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7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rPr>
                <w:rFonts w:ascii="宋体" w:cs="Times New Roman"/>
                <w:b/>
                <w:bCs/>
                <w:color w:val="000000"/>
                <w:kern w:val="0"/>
                <w:sz w:val="12"/>
                <w:szCs w:val="12"/>
              </w:rPr>
            </w:pPr>
            <w:r>
              <w:rPr>
                <w:rFonts w:hint="eastAsia" w:ascii="宋体" w:hAnsi="宋体" w:cs="宋体"/>
                <w:b/>
                <w:bCs/>
                <w:color w:val="000000"/>
                <w:kern w:val="0"/>
                <w:sz w:val="10"/>
                <w:szCs w:val="10"/>
              </w:rPr>
              <w:t>单位：万元</w:t>
            </w:r>
          </w:p>
        </w:tc>
      </w:tr>
      <w:tr>
        <w:tblPrEx>
          <w:tblCellMar>
            <w:top w:w="0" w:type="dxa"/>
            <w:left w:w="108" w:type="dxa"/>
            <w:bottom w:w="0" w:type="dxa"/>
            <w:right w:w="108" w:type="dxa"/>
          </w:tblCellMar>
        </w:tblPrEx>
        <w:trPr>
          <w:trHeight w:val="450" w:hRule="atLeast"/>
        </w:trPr>
        <w:tc>
          <w:tcPr>
            <w:tcW w:w="6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功能科目编码（类款项）</w:t>
            </w:r>
          </w:p>
        </w:tc>
        <w:tc>
          <w:tcPr>
            <w:tcW w:w="283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功能科目名称</w:t>
            </w:r>
          </w:p>
        </w:tc>
        <w:tc>
          <w:tcPr>
            <w:tcW w:w="6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总计</w:t>
            </w:r>
          </w:p>
        </w:tc>
        <w:tc>
          <w:tcPr>
            <w:tcW w:w="2364"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　</w:t>
            </w:r>
          </w:p>
        </w:tc>
        <w:tc>
          <w:tcPr>
            <w:tcW w:w="391" w:type="dxa"/>
            <w:vMerge w:val="restart"/>
            <w:tcBorders>
              <w:top w:val="nil"/>
              <w:left w:val="single" w:color="auto" w:sz="4" w:space="0"/>
              <w:bottom w:val="single" w:color="000000" w:sz="4" w:space="0"/>
              <w:right w:val="single" w:color="auto" w:sz="4" w:space="0"/>
            </w:tcBorders>
            <w:shd w:val="clear" w:color="000000" w:fill="FFFFFF"/>
            <w:vAlign w:val="bottom"/>
          </w:tcPr>
          <w:p>
            <w:pPr>
              <w:widowControl/>
              <w:jc w:val="center"/>
              <w:rPr>
                <w:rFonts w:ascii="宋体" w:cs="Times New Roman"/>
                <w:b/>
                <w:bCs/>
                <w:kern w:val="0"/>
                <w:sz w:val="12"/>
                <w:szCs w:val="12"/>
              </w:rPr>
            </w:pPr>
            <w:r>
              <w:rPr>
                <w:rFonts w:hint="eastAsia" w:ascii="宋体" w:hAnsi="宋体" w:cs="宋体"/>
                <w:b/>
                <w:bCs/>
                <w:kern w:val="0"/>
                <w:sz w:val="12"/>
                <w:szCs w:val="12"/>
              </w:rPr>
              <w:t>未纳入预算管理的专户及批准留用的资金</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事业收入（不含预算外）</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事业单位经营收入</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其他收入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上级补助收入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附属单位上缴收入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用事业基金弥补收支差额</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上年结转</w:t>
            </w:r>
          </w:p>
        </w:tc>
      </w:tr>
      <w:tr>
        <w:tblPrEx>
          <w:tblCellMar>
            <w:top w:w="0" w:type="dxa"/>
            <w:left w:w="108" w:type="dxa"/>
            <w:bottom w:w="0" w:type="dxa"/>
            <w:right w:w="108" w:type="dxa"/>
          </w:tblCellMar>
        </w:tblPrEx>
        <w:trPr>
          <w:trHeight w:val="2160" w:hRule="atLeast"/>
        </w:trPr>
        <w:tc>
          <w:tcPr>
            <w:tcW w:w="6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283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小计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一般公共预算财政拨款</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政府性基金预算财政拨款</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纳入预算管理的行政性收费安排的拨款</w:t>
            </w:r>
          </w:p>
        </w:tc>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cs="Times New Roman"/>
                <w:color w:val="000000"/>
                <w:kern w:val="0"/>
                <w:sz w:val="12"/>
                <w:szCs w:val="12"/>
              </w:rPr>
              <w:t>205</w:t>
            </w: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r>
              <w:rPr>
                <w:rFonts w:hint="eastAsia" w:ascii="宋体" w:cs="Times New Roman"/>
                <w:color w:val="000000"/>
                <w:kern w:val="0"/>
                <w:sz w:val="12"/>
                <w:szCs w:val="12"/>
              </w:rPr>
              <w:t>教育支出</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cs="Times New Roman"/>
                <w:color w:val="0000FF"/>
                <w:kern w:val="0"/>
                <w:sz w:val="12"/>
                <w:szCs w:val="12"/>
              </w:rPr>
              <w:t>325.62</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cs="Times New Roman"/>
                <w:color w:val="0000FF"/>
                <w:kern w:val="0"/>
                <w:sz w:val="12"/>
                <w:szCs w:val="12"/>
              </w:rPr>
              <w:t>325.62</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cs="Times New Roman"/>
                <w:color w:val="000000"/>
                <w:kern w:val="0"/>
                <w:sz w:val="12"/>
                <w:szCs w:val="12"/>
              </w:rPr>
              <w:t>20508</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cs="Times New Roman"/>
                <w:color w:val="000000"/>
                <w:kern w:val="0"/>
                <w:sz w:val="12"/>
                <w:szCs w:val="12"/>
              </w:rPr>
              <w:t>教育支出</w:t>
            </w:r>
            <w:r>
              <w:rPr>
                <w:rFonts w:ascii="宋体" w:cs="Times New Roman"/>
                <w:color w:val="000000"/>
                <w:kern w:val="0"/>
                <w:sz w:val="12"/>
                <w:szCs w:val="12"/>
              </w:rPr>
              <w:t>-</w:t>
            </w:r>
            <w:r>
              <w:rPr>
                <w:rFonts w:hint="eastAsia" w:ascii="宋体" w:cs="Times New Roman"/>
                <w:color w:val="000000"/>
                <w:kern w:val="0"/>
                <w:sz w:val="12"/>
                <w:szCs w:val="12"/>
              </w:rPr>
              <w:t>进修及培训</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cs="Times New Roman"/>
                <w:color w:val="0000FF"/>
                <w:kern w:val="0"/>
                <w:sz w:val="12"/>
                <w:szCs w:val="12"/>
              </w:rPr>
              <w:t>325.62</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cs="Times New Roman"/>
                <w:color w:val="0000FF"/>
                <w:kern w:val="0"/>
                <w:sz w:val="12"/>
                <w:szCs w:val="12"/>
              </w:rPr>
              <w:t>325.62</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cs="Times New Roman"/>
                <w:color w:val="000000"/>
                <w:kern w:val="0"/>
                <w:sz w:val="12"/>
                <w:szCs w:val="12"/>
              </w:rPr>
              <w:t>2050802</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cs="Times New Roman"/>
                <w:color w:val="000000"/>
                <w:kern w:val="0"/>
                <w:sz w:val="12"/>
                <w:szCs w:val="12"/>
              </w:rPr>
              <w:t>教育支出</w:t>
            </w:r>
            <w:r>
              <w:rPr>
                <w:rFonts w:ascii="宋体" w:cs="Times New Roman"/>
                <w:color w:val="000000"/>
                <w:kern w:val="0"/>
                <w:sz w:val="12"/>
                <w:szCs w:val="12"/>
              </w:rPr>
              <w:t>-</w:t>
            </w:r>
            <w:r>
              <w:rPr>
                <w:rFonts w:hint="eastAsia" w:ascii="宋体" w:cs="Times New Roman"/>
                <w:color w:val="000000"/>
                <w:kern w:val="0"/>
                <w:sz w:val="12"/>
                <w:szCs w:val="12"/>
              </w:rPr>
              <w:t>进修及培训</w:t>
            </w:r>
            <w:r>
              <w:rPr>
                <w:rFonts w:ascii="宋体" w:cs="Times New Roman"/>
                <w:color w:val="000000"/>
                <w:kern w:val="0"/>
                <w:sz w:val="12"/>
                <w:szCs w:val="12"/>
              </w:rPr>
              <w:t>-</w:t>
            </w:r>
            <w:r>
              <w:rPr>
                <w:rFonts w:hint="eastAsia" w:ascii="宋体" w:cs="Times New Roman"/>
                <w:color w:val="000000"/>
                <w:kern w:val="0"/>
                <w:sz w:val="12"/>
                <w:szCs w:val="12"/>
              </w:rPr>
              <w:t>干部教育</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cs="Times New Roman"/>
                <w:color w:val="0000FF"/>
                <w:kern w:val="0"/>
                <w:sz w:val="12"/>
                <w:szCs w:val="12"/>
              </w:rPr>
              <w:t>325.62</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cs="Times New Roman"/>
                <w:color w:val="0000FF"/>
                <w:kern w:val="0"/>
                <w:sz w:val="12"/>
                <w:szCs w:val="12"/>
              </w:rPr>
              <w:t>325.62</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nil"/>
              <w:bottom w:val="nil"/>
              <w:right w:val="nil"/>
            </w:tcBorders>
            <w:vAlign w:val="bottom"/>
          </w:tcPr>
          <w:p>
            <w:pPr>
              <w:widowControl/>
              <w:jc w:val="left"/>
              <w:rPr>
                <w:rFonts w:ascii="Arial" w:hAnsi="Arial" w:cs="Arial"/>
                <w:color w:val="000000"/>
                <w:kern w:val="0"/>
                <w:sz w:val="12"/>
                <w:szCs w:val="12"/>
              </w:rPr>
            </w:pPr>
            <w:r>
              <w:rPr>
                <w:rFonts w:hint="eastAsia" w:ascii="Arial" w:hAnsi="Arial" w:cs="宋体"/>
                <w:color w:val="000000"/>
                <w:kern w:val="0"/>
                <w:sz w:val="12"/>
                <w:szCs w:val="12"/>
              </w:rPr>
              <w:t>　</w:t>
            </w:r>
          </w:p>
        </w:tc>
        <w:tc>
          <w:tcPr>
            <w:tcW w:w="283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合计</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cs="Times New Roman"/>
                <w:color w:val="0000FF"/>
                <w:kern w:val="0"/>
                <w:sz w:val="12"/>
                <w:szCs w:val="12"/>
              </w:rPr>
              <w:t>325.62</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ascii="宋体" w:cs="Times New Roman"/>
                <w:color w:val="0000FF"/>
                <w:kern w:val="0"/>
                <w:sz w:val="12"/>
                <w:szCs w:val="12"/>
              </w:rPr>
              <w:t>325.62</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bl>
    <w:p>
      <w:pPr>
        <w:spacing w:line="360" w:lineRule="auto"/>
        <w:jc w:val="left"/>
        <w:rPr>
          <w:rFonts w:ascii="宋体" w:cs="Times New Roman"/>
          <w:color w:val="3E3E3E"/>
          <w:kern w:val="0"/>
          <w:sz w:val="32"/>
          <w:szCs w:val="32"/>
        </w:rPr>
      </w:pPr>
    </w:p>
    <w:p>
      <w:pPr>
        <w:spacing w:line="360" w:lineRule="auto"/>
        <w:jc w:val="left"/>
        <w:rPr>
          <w:rFonts w:ascii="宋体" w:cs="Times New Roman"/>
          <w:color w:val="3E3E3E"/>
          <w:kern w:val="0"/>
          <w:sz w:val="32"/>
          <w:szCs w:val="32"/>
        </w:rPr>
      </w:pPr>
    </w:p>
    <w:p>
      <w:pPr>
        <w:spacing w:line="360" w:lineRule="auto"/>
        <w:jc w:val="left"/>
        <w:rPr>
          <w:rFonts w:ascii="宋体" w:cs="Times New Roman"/>
          <w:color w:val="3E3E3E"/>
          <w:kern w:val="0"/>
          <w:sz w:val="32"/>
          <w:szCs w:val="32"/>
        </w:rPr>
      </w:pPr>
    </w:p>
    <w:p>
      <w:pPr>
        <w:spacing w:line="360" w:lineRule="auto"/>
        <w:jc w:val="left"/>
        <w:rPr>
          <w:rFonts w:ascii="宋体" w:cs="Times New Roman"/>
          <w:color w:val="3E3E3E"/>
          <w:kern w:val="0"/>
          <w:sz w:val="32"/>
          <w:szCs w:val="32"/>
        </w:rPr>
      </w:pPr>
    </w:p>
    <w:p>
      <w:pPr>
        <w:spacing w:line="360" w:lineRule="auto"/>
        <w:jc w:val="left"/>
        <w:rPr>
          <w:rFonts w:ascii="宋体" w:cs="Times New Roman"/>
          <w:color w:val="3E3E3E"/>
          <w:kern w:val="0"/>
          <w:sz w:val="32"/>
          <w:szCs w:val="32"/>
        </w:rPr>
      </w:pPr>
    </w:p>
    <w:p>
      <w:pPr>
        <w:spacing w:line="360" w:lineRule="auto"/>
        <w:jc w:val="left"/>
        <w:rPr>
          <w:rFonts w:ascii="宋体" w:cs="Times New Roman"/>
          <w:color w:val="3E3E3E"/>
          <w:kern w:val="0"/>
          <w:sz w:val="32"/>
          <w:szCs w:val="32"/>
        </w:rPr>
      </w:pPr>
    </w:p>
    <w:p>
      <w:pPr>
        <w:spacing w:line="360" w:lineRule="auto"/>
        <w:jc w:val="left"/>
        <w:rPr>
          <w:rFonts w:ascii="宋体" w:cs="Times New Roman"/>
          <w:color w:val="3E3E3E"/>
          <w:kern w:val="0"/>
          <w:sz w:val="32"/>
          <w:szCs w:val="32"/>
        </w:rPr>
      </w:pPr>
    </w:p>
    <w:p>
      <w:pPr>
        <w:spacing w:line="360" w:lineRule="auto"/>
        <w:ind w:firstLine="360"/>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8.2022</w:t>
      </w:r>
      <w:r>
        <w:rPr>
          <w:rFonts w:hint="eastAsia" w:ascii="宋体" w:hAnsi="宋体" w:cs="宋体"/>
          <w:color w:val="3E3E3E"/>
          <w:kern w:val="0"/>
          <w:sz w:val="32"/>
          <w:szCs w:val="32"/>
        </w:rPr>
        <w:t>门支出总表表</w:t>
      </w:r>
      <w:r>
        <w:rPr>
          <w:rFonts w:hint="eastAsia" w:ascii="宋体" w:hAnsi="宋体" w:cs="宋体"/>
          <w:color w:val="3E3E3E"/>
          <w:kern w:val="0"/>
          <w:sz w:val="32"/>
          <w:szCs w:val="32"/>
        </w:rPr>
        <w:fldChar w:fldCharType="end"/>
      </w:r>
    </w:p>
    <w:tbl>
      <w:tblPr>
        <w:tblStyle w:val="5"/>
        <w:tblW w:w="8380" w:type="dxa"/>
        <w:tblInd w:w="-106" w:type="dxa"/>
        <w:tblLayout w:type="fixed"/>
        <w:tblCellMar>
          <w:top w:w="0" w:type="dxa"/>
          <w:left w:w="108" w:type="dxa"/>
          <w:bottom w:w="0" w:type="dxa"/>
          <w:right w:w="108" w:type="dxa"/>
        </w:tblCellMar>
      </w:tblPr>
      <w:tblGrid>
        <w:gridCol w:w="780"/>
        <w:gridCol w:w="2390"/>
        <w:gridCol w:w="810"/>
        <w:gridCol w:w="880"/>
        <w:gridCol w:w="880"/>
        <w:gridCol w:w="880"/>
        <w:gridCol w:w="880"/>
        <w:gridCol w:w="880"/>
      </w:tblGrid>
      <w:tr>
        <w:tblPrEx>
          <w:tblCellMar>
            <w:top w:w="0" w:type="dxa"/>
            <w:left w:w="108" w:type="dxa"/>
            <w:bottom w:w="0" w:type="dxa"/>
            <w:right w:w="108" w:type="dxa"/>
          </w:tblCellMar>
        </w:tblPrEx>
        <w:trPr>
          <w:trHeight w:val="255" w:hRule="atLeast"/>
        </w:trPr>
        <w:tc>
          <w:tcPr>
            <w:tcW w:w="3170"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81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3980" w:type="dxa"/>
            <w:gridSpan w:val="3"/>
            <w:tcBorders>
              <w:top w:val="nil"/>
              <w:left w:val="nil"/>
              <w:bottom w:val="single" w:color="auto" w:sz="4" w:space="0"/>
              <w:right w:val="nil"/>
            </w:tcBorders>
            <w:vAlign w:val="bottom"/>
          </w:tcPr>
          <w:p>
            <w:pPr>
              <w:widowControl/>
              <w:rPr>
                <w:rFonts w:ascii="宋体" w:cs="Times New Roman"/>
                <w:kern w:val="0"/>
                <w:sz w:val="16"/>
                <w:szCs w:val="16"/>
              </w:rPr>
            </w:pPr>
            <w:r>
              <w:rPr>
                <w:rFonts w:hint="eastAsia" w:ascii="宋体" w:hAnsi="宋体" w:cs="宋体"/>
                <w:kern w:val="0"/>
                <w:sz w:val="16"/>
                <w:szCs w:val="16"/>
              </w:rPr>
              <w:t>部门（单位）名称：中共长春市二道区委党校</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4"/>
                <w:szCs w:val="14"/>
              </w:rPr>
              <w:t>单位：万元</w:t>
            </w:r>
          </w:p>
        </w:tc>
      </w:tr>
      <w:tr>
        <w:tblPrEx>
          <w:tblCellMar>
            <w:top w:w="0" w:type="dxa"/>
            <w:left w:w="108" w:type="dxa"/>
            <w:bottom w:w="0" w:type="dxa"/>
            <w:right w:w="108" w:type="dxa"/>
          </w:tblCellMar>
        </w:tblPrEx>
        <w:trPr>
          <w:trHeight w:val="312" w:hRule="atLeast"/>
        </w:trPr>
        <w:tc>
          <w:tcPr>
            <w:tcW w:w="78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3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81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78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3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cs="Times New Roman"/>
                <w:color w:val="000000"/>
                <w:kern w:val="0"/>
                <w:sz w:val="16"/>
                <w:szCs w:val="16"/>
              </w:rPr>
              <w:t>205</w:t>
            </w:r>
          </w:p>
        </w:tc>
        <w:tc>
          <w:tcPr>
            <w:tcW w:w="239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cs="Times New Roman"/>
                <w:color w:val="000000"/>
                <w:kern w:val="0"/>
                <w:sz w:val="16"/>
                <w:szCs w:val="16"/>
              </w:rPr>
              <w:t>教育支出</w:t>
            </w:r>
          </w:p>
        </w:tc>
        <w:tc>
          <w:tcPr>
            <w:tcW w:w="81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325.62</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253.82</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71.8</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cs="Times New Roman"/>
                <w:color w:val="000000"/>
                <w:kern w:val="0"/>
                <w:sz w:val="16"/>
                <w:szCs w:val="16"/>
              </w:rPr>
              <w:t>20508</w:t>
            </w:r>
          </w:p>
        </w:tc>
        <w:tc>
          <w:tcPr>
            <w:tcW w:w="239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cs="Times New Roman"/>
                <w:color w:val="000000"/>
                <w:kern w:val="0"/>
                <w:sz w:val="16"/>
                <w:szCs w:val="16"/>
              </w:rPr>
              <w:t>教育支出</w:t>
            </w:r>
            <w:r>
              <w:rPr>
                <w:rFonts w:ascii="宋体" w:cs="Times New Roman"/>
                <w:color w:val="000000"/>
                <w:kern w:val="0"/>
                <w:sz w:val="16"/>
                <w:szCs w:val="16"/>
              </w:rPr>
              <w:t>-</w:t>
            </w:r>
            <w:r>
              <w:rPr>
                <w:rFonts w:hint="eastAsia" w:ascii="宋体" w:cs="Times New Roman"/>
                <w:color w:val="000000"/>
                <w:kern w:val="0"/>
                <w:sz w:val="16"/>
                <w:szCs w:val="16"/>
              </w:rPr>
              <w:t>进修及培训</w:t>
            </w:r>
          </w:p>
        </w:tc>
        <w:tc>
          <w:tcPr>
            <w:tcW w:w="81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325.62</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253.82</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71.8</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cs="Times New Roman"/>
                <w:color w:val="000000"/>
                <w:kern w:val="0"/>
                <w:sz w:val="16"/>
                <w:szCs w:val="16"/>
              </w:rPr>
              <w:t>2050802</w:t>
            </w:r>
          </w:p>
        </w:tc>
        <w:tc>
          <w:tcPr>
            <w:tcW w:w="239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4"/>
                <w:szCs w:val="14"/>
              </w:rPr>
            </w:pPr>
            <w:r>
              <w:rPr>
                <w:rFonts w:hint="eastAsia" w:ascii="宋体" w:cs="Times New Roman"/>
                <w:color w:val="000000"/>
                <w:kern w:val="0"/>
                <w:sz w:val="14"/>
                <w:szCs w:val="14"/>
              </w:rPr>
              <w:t>教育支出</w:t>
            </w:r>
            <w:r>
              <w:rPr>
                <w:rFonts w:ascii="宋体" w:cs="Times New Roman"/>
                <w:color w:val="000000"/>
                <w:kern w:val="0"/>
                <w:sz w:val="14"/>
                <w:szCs w:val="14"/>
              </w:rPr>
              <w:t>-</w:t>
            </w:r>
            <w:r>
              <w:rPr>
                <w:rFonts w:hint="eastAsia" w:ascii="宋体" w:cs="Times New Roman"/>
                <w:color w:val="000000"/>
                <w:kern w:val="0"/>
                <w:sz w:val="14"/>
                <w:szCs w:val="14"/>
              </w:rPr>
              <w:t>进修及培训</w:t>
            </w:r>
            <w:r>
              <w:rPr>
                <w:rFonts w:ascii="宋体" w:cs="Times New Roman"/>
                <w:color w:val="000000"/>
                <w:kern w:val="0"/>
                <w:sz w:val="14"/>
                <w:szCs w:val="14"/>
              </w:rPr>
              <w:t>-</w:t>
            </w:r>
            <w:r>
              <w:rPr>
                <w:rFonts w:hint="eastAsia" w:ascii="宋体" w:cs="Times New Roman"/>
                <w:color w:val="000000"/>
                <w:kern w:val="0"/>
                <w:sz w:val="14"/>
                <w:szCs w:val="14"/>
              </w:rPr>
              <w:t>干部教育</w:t>
            </w:r>
          </w:p>
        </w:tc>
        <w:tc>
          <w:tcPr>
            <w:tcW w:w="81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325.62</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253.82</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71.8</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170"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1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325.62</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253.82</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ascii="宋体" w:cs="Times New Roman"/>
                <w:color w:val="0000FF"/>
                <w:kern w:val="0"/>
                <w:sz w:val="16"/>
                <w:szCs w:val="16"/>
              </w:rPr>
              <w:t>71.8</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bl>
    <w:p>
      <w:pPr>
        <w:widowControl/>
        <w:spacing w:before="100" w:beforeAutospacing="1" w:after="100" w:afterAutospacing="1" w:line="360" w:lineRule="auto"/>
        <w:ind w:firstLine="1280" w:firstLineChars="400"/>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27" w:firstLineChars="196"/>
        <w:jc w:val="left"/>
        <w:rPr>
          <w:rFonts w:ascii="宋体" w:cs="Times New Roman"/>
          <w:bCs/>
          <w:color w:val="3E3E3E"/>
          <w:kern w:val="0"/>
          <w:sz w:val="32"/>
          <w:szCs w:val="32"/>
        </w:rPr>
      </w:pPr>
      <w:r>
        <w:rPr>
          <w:rFonts w:hint="eastAsia" w:ascii="宋体" w:hAnsi="宋体" w:cs="宋体"/>
          <w:bCs/>
          <w:color w:val="3E3E3E"/>
          <w:kern w:val="0"/>
          <w:sz w:val="32"/>
          <w:szCs w:val="32"/>
        </w:rPr>
        <w:t>一、</w:t>
      </w:r>
      <w:r>
        <w:rPr>
          <w:rFonts w:ascii="宋体" w:hAnsi="宋体" w:cs="宋体"/>
          <w:bCs/>
          <w:color w:val="3E3E3E"/>
          <w:kern w:val="0"/>
          <w:sz w:val="32"/>
          <w:szCs w:val="32"/>
        </w:rPr>
        <w:t>2022</w:t>
      </w:r>
      <w:r>
        <w:rPr>
          <w:rFonts w:hint="eastAsia" w:ascii="宋体" w:hAnsi="宋体" w:cs="宋体"/>
          <w:bCs/>
          <w:color w:val="3E3E3E"/>
          <w:kern w:val="0"/>
          <w:sz w:val="32"/>
          <w:szCs w:val="32"/>
        </w:rPr>
        <w:t>年财政拨款收支说明</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2022</w:t>
      </w:r>
      <w:r>
        <w:rPr>
          <w:rFonts w:hint="eastAsia" w:ascii="宋体" w:hAnsi="宋体" w:cs="宋体"/>
          <w:color w:val="3E3E3E"/>
          <w:kern w:val="0"/>
          <w:sz w:val="32"/>
          <w:szCs w:val="32"/>
        </w:rPr>
        <w:t>年财政拨款</w:t>
      </w:r>
      <w:r>
        <w:rPr>
          <w:rFonts w:ascii="宋体" w:hAnsi="宋体" w:cs="宋体"/>
          <w:color w:val="3E3E3E"/>
          <w:kern w:val="0"/>
          <w:sz w:val="32"/>
          <w:szCs w:val="32"/>
        </w:rPr>
        <w:t>325.62</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收入合计</w:t>
      </w:r>
      <w:r>
        <w:rPr>
          <w:rFonts w:ascii="宋体" w:hAnsi="宋体" w:cs="宋体"/>
          <w:color w:val="3E3E3E"/>
          <w:kern w:val="0"/>
          <w:sz w:val="32"/>
          <w:szCs w:val="32"/>
        </w:rPr>
        <w:t>325.62</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2022</w:t>
      </w:r>
      <w:r>
        <w:rPr>
          <w:rFonts w:hint="eastAsia" w:ascii="宋体" w:hAnsi="宋体" w:cs="宋体"/>
          <w:color w:val="3E3E3E"/>
          <w:kern w:val="0"/>
          <w:sz w:val="32"/>
          <w:szCs w:val="32"/>
        </w:rPr>
        <w:t>年财政预算支出</w:t>
      </w:r>
      <w:r>
        <w:rPr>
          <w:rFonts w:ascii="宋体" w:hAnsi="宋体" w:cs="宋体"/>
          <w:color w:val="3E3E3E"/>
          <w:kern w:val="0"/>
          <w:sz w:val="32"/>
          <w:szCs w:val="32"/>
        </w:rPr>
        <w:t>325.62</w:t>
      </w:r>
      <w:r>
        <w:rPr>
          <w:rFonts w:hint="eastAsia" w:ascii="宋体" w:hAnsi="宋体" w:cs="宋体"/>
          <w:color w:val="3E3E3E"/>
          <w:kern w:val="0"/>
          <w:sz w:val="32"/>
          <w:szCs w:val="32"/>
        </w:rPr>
        <w:t>万元，其中，基本支出</w:t>
      </w:r>
      <w:r>
        <w:rPr>
          <w:rFonts w:ascii="宋体" w:hAnsi="宋体" w:cs="宋体"/>
          <w:color w:val="3E3E3E"/>
          <w:kern w:val="0"/>
          <w:sz w:val="32"/>
          <w:szCs w:val="32"/>
        </w:rPr>
        <w:t>253.82</w:t>
      </w:r>
      <w:r>
        <w:rPr>
          <w:rFonts w:hint="eastAsia" w:ascii="宋体" w:hAnsi="宋体" w:cs="宋体"/>
          <w:color w:val="3E3E3E"/>
          <w:kern w:val="0"/>
          <w:sz w:val="32"/>
          <w:szCs w:val="32"/>
        </w:rPr>
        <w:t>万元，项目支出</w:t>
      </w:r>
      <w:r>
        <w:rPr>
          <w:rFonts w:ascii="宋体" w:hAnsi="宋体" w:cs="宋体"/>
          <w:color w:val="3E3E3E"/>
          <w:kern w:val="0"/>
          <w:sz w:val="32"/>
          <w:szCs w:val="32"/>
        </w:rPr>
        <w:t>71.8</w:t>
      </w:r>
      <w:r>
        <w:rPr>
          <w:rFonts w:hint="eastAsia" w:ascii="宋体" w:hAnsi="宋体" w:cs="宋体"/>
          <w:color w:val="3E3E3E"/>
          <w:kern w:val="0"/>
          <w:sz w:val="32"/>
          <w:szCs w:val="32"/>
        </w:rPr>
        <w:t>万元。</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教育支出</w:t>
      </w:r>
      <w:r>
        <w:rPr>
          <w:rFonts w:ascii="宋体" w:hAnsi="宋体" w:cs="宋体"/>
          <w:color w:val="3E3E3E"/>
          <w:kern w:val="0"/>
          <w:sz w:val="32"/>
          <w:szCs w:val="32"/>
        </w:rPr>
        <w:t>325.62</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ascii="宋体" w:hAnsi="宋体" w:cs="宋体"/>
          <w:color w:val="3E3E3E"/>
          <w:kern w:val="0"/>
          <w:sz w:val="32"/>
          <w:szCs w:val="32"/>
        </w:rPr>
        <w:t>211.37</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ascii="宋体" w:hAnsi="宋体" w:cs="宋体"/>
          <w:color w:val="3E3E3E"/>
          <w:kern w:val="0"/>
          <w:sz w:val="32"/>
          <w:szCs w:val="32"/>
        </w:rPr>
        <w:t>26.58</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3.</w:t>
      </w:r>
      <w:r>
        <w:rPr>
          <w:rFonts w:hint="eastAsia" w:ascii="宋体" w:hAnsi="宋体" w:cs="宋体"/>
          <w:color w:val="3E3E3E"/>
          <w:kern w:val="0"/>
          <w:sz w:val="32"/>
          <w:szCs w:val="32"/>
        </w:rPr>
        <w:t>对个人和家庭补助支出</w:t>
      </w:r>
      <w:r>
        <w:rPr>
          <w:rFonts w:ascii="宋体" w:hAnsi="宋体" w:cs="宋体"/>
          <w:color w:val="3E3E3E"/>
          <w:kern w:val="0"/>
          <w:sz w:val="32"/>
          <w:szCs w:val="32"/>
        </w:rPr>
        <w:t>15.87</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ascii="宋体" w:hAnsi="宋体" w:cs="宋体"/>
          <w:color w:val="3E3E3E"/>
          <w:kern w:val="0"/>
          <w:sz w:val="32"/>
          <w:szCs w:val="32"/>
        </w:rPr>
        <w:t>253.82</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宋体"/>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2022</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widowControl/>
        <w:spacing w:before="100" w:beforeAutospacing="1" w:after="100" w:afterAutospacing="1" w:line="360" w:lineRule="auto"/>
        <w:ind w:firstLine="1280" w:firstLineChars="400"/>
        <w:jc w:val="left"/>
        <w:rPr>
          <w:rFonts w:ascii="宋体" w:cs="宋体"/>
          <w:color w:val="3E3E3E"/>
          <w:kern w:val="0"/>
          <w:sz w:val="32"/>
          <w:szCs w:val="32"/>
        </w:rPr>
      </w:pPr>
      <w:r>
        <w:rPr>
          <w:rFonts w:hint="eastAsia" w:ascii="宋体" w:hAnsi="宋体" w:cs="宋体"/>
          <w:color w:val="3E3E3E"/>
          <w:kern w:val="0"/>
          <w:sz w:val="32"/>
          <w:szCs w:val="32"/>
        </w:rPr>
        <w:t>我单位没有此项经济支出。</w:t>
      </w:r>
    </w:p>
    <w:p>
      <w:pPr>
        <w:numPr>
          <w:ilvl w:val="0"/>
          <w:numId w:val="3"/>
        </w:numPr>
        <w:autoSpaceDE w:val="0"/>
        <w:autoSpaceDN w:val="0"/>
        <w:adjustRightInd w:val="0"/>
        <w:rPr>
          <w:rFonts w:ascii="宋体" w:cs="宋体"/>
          <w:b/>
          <w:bCs/>
          <w:color w:val="3E3E3E"/>
          <w:kern w:val="0"/>
          <w:sz w:val="32"/>
          <w:szCs w:val="32"/>
        </w:rPr>
      </w:pPr>
      <w:r>
        <w:rPr>
          <w:rFonts w:hint="eastAsia" w:ascii="宋体" w:hAnsi="宋体" w:cs="宋体"/>
          <w:b/>
          <w:bCs/>
          <w:color w:val="3E3E3E"/>
          <w:kern w:val="0"/>
          <w:sz w:val="32"/>
          <w:szCs w:val="32"/>
        </w:rPr>
        <w:t>政府性基金预算说明</w:t>
      </w:r>
    </w:p>
    <w:p>
      <w:pPr>
        <w:autoSpaceDE w:val="0"/>
        <w:autoSpaceDN w:val="0"/>
        <w:adjustRightInd w:val="0"/>
        <w:ind w:left="640" w:firstLine="640" w:firstLineChars="200"/>
        <w:rPr>
          <w:rFonts w:ascii="宋体" w:cs="宋体"/>
          <w:color w:val="3E3E3E"/>
          <w:kern w:val="0"/>
          <w:sz w:val="32"/>
          <w:szCs w:val="32"/>
        </w:rPr>
      </w:pPr>
      <w:r>
        <w:rPr>
          <w:rFonts w:hint="eastAsia" w:ascii="宋体" w:hAnsi="宋体" w:cs="宋体"/>
          <w:color w:val="3E3E3E"/>
          <w:kern w:val="0"/>
          <w:sz w:val="32"/>
          <w:szCs w:val="32"/>
        </w:rPr>
        <w:t>我单位没有此项经济支出。</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六、部门收支表说明</w:t>
      </w:r>
    </w:p>
    <w:p>
      <w:pPr>
        <w:autoSpaceDE w:val="0"/>
        <w:autoSpaceDN w:val="0"/>
        <w:adjustRightInd w:val="0"/>
        <w:ind w:firstLine="640" w:firstLineChars="200"/>
        <w:rPr>
          <w:rFonts w:ascii="宋体" w:cs="宋体"/>
          <w:color w:val="3E3E3E"/>
          <w:kern w:val="0"/>
          <w:sz w:val="32"/>
          <w:szCs w:val="32"/>
        </w:rPr>
      </w:pPr>
      <w:r>
        <w:rPr>
          <w:rFonts w:hint="eastAsia" w:ascii="宋体" w:hAnsi="宋体" w:cs="宋体"/>
          <w:color w:val="3E3E3E"/>
          <w:kern w:val="0"/>
          <w:sz w:val="32"/>
          <w:szCs w:val="32"/>
        </w:rPr>
        <w:t>中共长春市二道区委党校</w:t>
      </w:r>
      <w:r>
        <w:rPr>
          <w:rFonts w:ascii="宋体" w:hAnsi="宋体" w:cs="宋体"/>
          <w:color w:val="3E3E3E"/>
          <w:kern w:val="0"/>
          <w:sz w:val="32"/>
          <w:szCs w:val="32"/>
        </w:rPr>
        <w:t>2022</w:t>
      </w:r>
      <w:r>
        <w:rPr>
          <w:rFonts w:hint="eastAsia" w:ascii="宋体" w:hAnsi="宋体" w:cs="宋体"/>
          <w:color w:val="3E3E3E"/>
          <w:kern w:val="0"/>
          <w:sz w:val="32"/>
          <w:szCs w:val="32"/>
        </w:rPr>
        <w:t>年总收入</w:t>
      </w:r>
      <w:r>
        <w:rPr>
          <w:rFonts w:ascii="宋体" w:hAnsi="宋体" w:cs="宋体"/>
          <w:color w:val="3E3E3E"/>
          <w:kern w:val="0"/>
          <w:sz w:val="32"/>
          <w:szCs w:val="32"/>
        </w:rPr>
        <w:t>325.62</w:t>
      </w:r>
      <w:r>
        <w:rPr>
          <w:rFonts w:hint="eastAsia" w:ascii="宋体" w:hAnsi="宋体" w:cs="宋体"/>
          <w:color w:val="3E3E3E"/>
          <w:kern w:val="0"/>
          <w:sz w:val="32"/>
          <w:szCs w:val="32"/>
        </w:rPr>
        <w:t>万元，其中，财政拨款</w:t>
      </w:r>
      <w:r>
        <w:rPr>
          <w:rFonts w:ascii="宋体" w:hAnsi="宋体" w:cs="宋体"/>
          <w:color w:val="3E3E3E"/>
          <w:kern w:val="0"/>
          <w:sz w:val="32"/>
          <w:szCs w:val="32"/>
        </w:rPr>
        <w:t>325.62</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宋体"/>
          <w:color w:val="3E3E3E"/>
          <w:kern w:val="0"/>
          <w:sz w:val="32"/>
          <w:szCs w:val="32"/>
        </w:rPr>
      </w:pPr>
      <w:r>
        <w:rPr>
          <w:rFonts w:hint="eastAsia" w:ascii="宋体" w:hAnsi="宋体" w:cs="宋体"/>
          <w:color w:val="3E3E3E"/>
          <w:kern w:val="0"/>
          <w:sz w:val="32"/>
          <w:szCs w:val="32"/>
        </w:rPr>
        <w:t>教育支出</w:t>
      </w:r>
      <w:r>
        <w:rPr>
          <w:rFonts w:ascii="宋体" w:hAnsi="宋体" w:cs="宋体"/>
          <w:color w:val="3E3E3E"/>
          <w:kern w:val="0"/>
          <w:sz w:val="32"/>
          <w:szCs w:val="32"/>
        </w:rPr>
        <w:t>325.62</w:t>
      </w:r>
      <w:r>
        <w:rPr>
          <w:rFonts w:hint="eastAsia" w:ascii="宋体" w:hAnsi="宋体" w:cs="宋体"/>
          <w:color w:val="3E3E3E"/>
          <w:kern w:val="0"/>
          <w:sz w:val="32"/>
          <w:szCs w:val="32"/>
        </w:rPr>
        <w:t>万元。</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七、部门收入总表情况</w:t>
      </w:r>
    </w:p>
    <w:p>
      <w:pPr>
        <w:autoSpaceDE w:val="0"/>
        <w:autoSpaceDN w:val="0"/>
        <w:adjustRightInd w:val="0"/>
        <w:ind w:firstLine="640" w:firstLineChars="200"/>
        <w:rPr>
          <w:rFonts w:ascii="宋体" w:cs="宋体"/>
          <w:color w:val="3E3E3E"/>
          <w:kern w:val="0"/>
          <w:sz w:val="32"/>
          <w:szCs w:val="32"/>
        </w:rPr>
      </w:pPr>
      <w:r>
        <w:rPr>
          <w:rFonts w:hint="eastAsia" w:ascii="宋体" w:hAnsi="宋体" w:cs="宋体"/>
          <w:color w:val="3E3E3E"/>
          <w:kern w:val="0"/>
          <w:sz w:val="32"/>
          <w:szCs w:val="32"/>
        </w:rPr>
        <w:t>中共长春市二道区委党校</w:t>
      </w:r>
      <w:r>
        <w:rPr>
          <w:rFonts w:ascii="宋体" w:hAnsi="宋体" w:cs="宋体"/>
          <w:color w:val="3E3E3E"/>
          <w:kern w:val="0"/>
          <w:sz w:val="32"/>
          <w:szCs w:val="32"/>
        </w:rPr>
        <w:t>2022</w:t>
      </w:r>
      <w:r>
        <w:rPr>
          <w:rFonts w:hint="eastAsia" w:ascii="宋体" w:hAnsi="宋体" w:cs="宋体"/>
          <w:color w:val="3E3E3E"/>
          <w:kern w:val="0"/>
          <w:sz w:val="32"/>
          <w:szCs w:val="32"/>
        </w:rPr>
        <w:t>年总收入</w:t>
      </w:r>
      <w:r>
        <w:rPr>
          <w:rFonts w:ascii="宋体" w:hAnsi="宋体" w:cs="宋体"/>
          <w:color w:val="3E3E3E"/>
          <w:kern w:val="0"/>
          <w:sz w:val="32"/>
          <w:szCs w:val="32"/>
        </w:rPr>
        <w:t>325.62</w:t>
      </w:r>
      <w:r>
        <w:rPr>
          <w:rFonts w:hint="eastAsia" w:ascii="宋体" w:hAnsi="宋体" w:cs="宋体"/>
          <w:color w:val="3E3E3E"/>
          <w:kern w:val="0"/>
          <w:sz w:val="32"/>
          <w:szCs w:val="32"/>
        </w:rPr>
        <w:t>万元，其中，财政拨款</w:t>
      </w:r>
      <w:r>
        <w:rPr>
          <w:rFonts w:ascii="宋体" w:hAnsi="宋体" w:cs="宋体"/>
          <w:color w:val="3E3E3E"/>
          <w:kern w:val="0"/>
          <w:sz w:val="32"/>
          <w:szCs w:val="32"/>
        </w:rPr>
        <w:t>325.62</w:t>
      </w:r>
      <w:r>
        <w:rPr>
          <w:rFonts w:hint="eastAsia" w:ascii="宋体" w:hAnsi="宋体" w:cs="宋体"/>
          <w:color w:val="3E3E3E"/>
          <w:kern w:val="0"/>
          <w:sz w:val="32"/>
          <w:szCs w:val="32"/>
        </w:rPr>
        <w:t>万元。</w:t>
      </w:r>
    </w:p>
    <w:p>
      <w:pPr>
        <w:autoSpaceDE w:val="0"/>
        <w:autoSpaceDN w:val="0"/>
        <w:adjustRightInd w:val="0"/>
        <w:ind w:firstLine="643" w:firstLineChars="200"/>
        <w:rPr>
          <w:rFonts w:ascii="宋体" w:cs="Times New Roman"/>
          <w:b/>
          <w:bCs/>
          <w:color w:val="3E3E3E"/>
          <w:kern w:val="0"/>
          <w:sz w:val="32"/>
          <w:szCs w:val="32"/>
        </w:rPr>
      </w:pPr>
      <w:r>
        <w:rPr>
          <w:rFonts w:hint="eastAsia" w:ascii="宋体" w:hAnsi="宋体" w:cs="宋体"/>
          <w:b/>
          <w:bCs/>
          <w:color w:val="3E3E3E"/>
          <w:kern w:val="0"/>
          <w:sz w:val="32"/>
          <w:szCs w:val="32"/>
        </w:rPr>
        <w:t>八、部门支出总表情况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按功能分类：教育支出</w:t>
      </w:r>
      <w:r>
        <w:rPr>
          <w:rFonts w:ascii="宋体" w:hAnsi="宋体" w:cs="宋体"/>
          <w:color w:val="3E3E3E"/>
          <w:kern w:val="0"/>
          <w:sz w:val="32"/>
          <w:szCs w:val="32"/>
        </w:rPr>
        <w:t>325.62</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ascii="宋体" w:hAnsi="宋体" w:cs="宋体"/>
          <w:color w:val="3E3E3E"/>
          <w:kern w:val="0"/>
          <w:sz w:val="32"/>
          <w:szCs w:val="32"/>
        </w:rPr>
        <w:t>253.82</w:t>
      </w:r>
      <w:r>
        <w:rPr>
          <w:rFonts w:hint="eastAsia" w:ascii="宋体" w:hAnsi="宋体" w:cs="宋体"/>
          <w:color w:val="3E3E3E"/>
          <w:kern w:val="0"/>
          <w:sz w:val="32"/>
          <w:szCs w:val="32"/>
        </w:rPr>
        <w:t>万元，项目支出</w:t>
      </w:r>
      <w:r>
        <w:rPr>
          <w:rFonts w:ascii="宋体" w:hAnsi="宋体" w:cs="宋体"/>
          <w:color w:val="3E3E3E"/>
          <w:kern w:val="0"/>
          <w:sz w:val="32"/>
          <w:szCs w:val="32"/>
        </w:rPr>
        <w:t>71.8</w:t>
      </w:r>
      <w:r>
        <w:rPr>
          <w:rFonts w:hint="eastAsia" w:ascii="宋体" w:hAnsi="宋体" w:cs="宋体"/>
          <w:color w:val="3E3E3E"/>
          <w:kern w:val="0"/>
          <w:sz w:val="32"/>
          <w:szCs w:val="32"/>
        </w:rPr>
        <w:t>万元。</w:t>
      </w:r>
    </w:p>
    <w:p>
      <w:pPr>
        <w:spacing w:line="500" w:lineRule="exact"/>
        <w:rPr>
          <w:rFonts w:ascii="宋体" w:cs="Times New Roman"/>
          <w:b/>
          <w:bCs/>
          <w:sz w:val="32"/>
          <w:szCs w:val="32"/>
        </w:rPr>
      </w:pPr>
      <w:r>
        <w:rPr>
          <w:rFonts w:ascii="宋体" w:hAnsi="宋体" w:cs="宋体"/>
          <w:sz w:val="32"/>
          <w:szCs w:val="32"/>
        </w:rPr>
        <w:t xml:space="preserve">    </w:t>
      </w:r>
      <w:r>
        <w:rPr>
          <w:rFonts w:hint="eastAsia" w:ascii="宋体" w:hAnsi="宋体" w:cs="宋体"/>
          <w:b/>
          <w:bCs/>
          <w:sz w:val="32"/>
          <w:szCs w:val="32"/>
        </w:rPr>
        <w:t>九、国有资产占用情况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sz w:val="32"/>
          <w:szCs w:val="32"/>
        </w:rPr>
        <w:t>中共长春市二道区委党校参加车改没有公务车。</w:t>
      </w:r>
    </w:p>
    <w:p>
      <w:pPr>
        <w:autoSpaceDE w:val="0"/>
        <w:autoSpaceDN w:val="0"/>
        <w:adjustRightInd w:val="0"/>
        <w:rPr>
          <w:rFonts w:ascii="宋体" w:cs="宋体"/>
          <w:b/>
          <w:bCs/>
          <w:kern w:val="0"/>
          <w:sz w:val="32"/>
          <w:szCs w:val="32"/>
        </w:rPr>
      </w:pPr>
    </w:p>
    <w:p>
      <w:pPr>
        <w:autoSpaceDE w:val="0"/>
        <w:autoSpaceDN w:val="0"/>
        <w:adjustRightInd w:val="0"/>
        <w:rPr>
          <w:rFonts w:ascii="宋体" w:cs="宋体"/>
          <w:b/>
          <w:bCs/>
          <w:kern w:val="0"/>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宋体"/>
          <w:kern w:val="0"/>
          <w:sz w:val="32"/>
          <w:szCs w:val="32"/>
        </w:rPr>
      </w:pPr>
      <w:r>
        <w:rPr>
          <w:rFonts w:ascii="宋体" w:hAnsi="宋体" w:cs="宋体"/>
          <w:kern w:val="0"/>
          <w:sz w:val="32"/>
          <w:szCs w:val="32"/>
        </w:rPr>
        <w:t xml:space="preserve">    </w:t>
      </w:r>
      <w:r>
        <w:rPr>
          <w:rFonts w:hint="eastAsia" w:ascii="宋体" w:hAnsi="宋体" w:cs="宋体"/>
          <w:kern w:val="0"/>
          <w:sz w:val="32"/>
          <w:szCs w:val="32"/>
        </w:rPr>
        <w:t>二、其他收入：银行存款利息收入。</w:t>
      </w:r>
      <w:r>
        <w:rPr>
          <w:rFonts w:ascii="宋体" w:hAnsi="宋体" w:cs="宋体"/>
          <w:kern w:val="0"/>
          <w:sz w:val="32"/>
          <w:szCs w:val="32"/>
        </w:rPr>
        <w:t xml:space="preserve">    </w:t>
      </w:r>
    </w:p>
    <w:p>
      <w:pPr>
        <w:autoSpaceDE w:val="0"/>
        <w:autoSpaceDN w:val="0"/>
        <w:adjustRightInd w:val="0"/>
        <w:ind w:firstLine="640" w:firstLineChars="200"/>
        <w:rPr>
          <w:rFonts w:ascii="宋体" w:cs="Times New Roman"/>
          <w:kern w:val="0"/>
          <w:sz w:val="32"/>
          <w:szCs w:val="32"/>
        </w:rPr>
      </w:pPr>
      <w:r>
        <w:rPr>
          <w:rFonts w:hint="eastAsia" w:ascii="宋体" w:hAnsi="宋体" w:cs="宋体"/>
          <w:kern w:val="0"/>
          <w:sz w:val="32"/>
          <w:szCs w:val="32"/>
        </w:rPr>
        <w:t>三、基本支出：指为保障机构正常运转、完成日常工作任务而发生的人员支出和公用支出。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p>
    <w:sectPr>
      <w:pgSz w:w="11906" w:h="16838"/>
      <w:pgMar w:top="1440" w:right="1797" w:bottom="147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62571"/>
    <w:multiLevelType w:val="singleLevel"/>
    <w:tmpl w:val="AB062571"/>
    <w:lvl w:ilvl="0" w:tentative="0">
      <w:start w:val="1"/>
      <w:numFmt w:val="chineseCounting"/>
      <w:suff w:val="nothing"/>
      <w:lvlText w:val="%1、"/>
      <w:lvlJc w:val="left"/>
      <w:rPr>
        <w:rFonts w:hint="eastAsia" w:cs="Times New Roman"/>
      </w:rPr>
    </w:lvl>
  </w:abstractNum>
  <w:abstractNum w:abstractNumId="1">
    <w:nsid w:val="B067CC82"/>
    <w:multiLevelType w:val="singleLevel"/>
    <w:tmpl w:val="B067CC82"/>
    <w:lvl w:ilvl="0" w:tentative="0">
      <w:start w:val="5"/>
      <w:numFmt w:val="chineseCounting"/>
      <w:suff w:val="nothing"/>
      <w:lvlText w:val="%1、"/>
      <w:lvlJc w:val="left"/>
      <w:pPr>
        <w:ind w:left="640"/>
      </w:pPr>
      <w:rPr>
        <w:rFonts w:hint="eastAsia" w:cs="Times New Roman"/>
      </w:rPr>
    </w:lvl>
  </w:abstractNum>
  <w:abstractNum w:abstractNumId="2">
    <w:nsid w:val="F302A6CC"/>
    <w:multiLevelType w:val="singleLevel"/>
    <w:tmpl w:val="F302A6CC"/>
    <w:lvl w:ilvl="0" w:tentative="0">
      <w:start w:val="2"/>
      <w:numFmt w:val="chineseCounting"/>
      <w:suff w:val="space"/>
      <w:lvlText w:val="第%1部分"/>
      <w:lvlJc w:val="left"/>
      <w:rPr>
        <w:rFonts w:hint="eastAsia"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xZTc4ODQ5MDZhZThhYTBjMDcwNmU4NjJhM2IzM2EifQ=="/>
  </w:docVars>
  <w:rsids>
    <w:rsidRoot w:val="00AC598A"/>
    <w:rsid w:val="000150E7"/>
    <w:rsid w:val="00016F38"/>
    <w:rsid w:val="0001704A"/>
    <w:rsid w:val="00075C6E"/>
    <w:rsid w:val="000963E0"/>
    <w:rsid w:val="000A1373"/>
    <w:rsid w:val="000D45AC"/>
    <w:rsid w:val="000F087E"/>
    <w:rsid w:val="000F42C3"/>
    <w:rsid w:val="00102AEA"/>
    <w:rsid w:val="00112E35"/>
    <w:rsid w:val="001A03DE"/>
    <w:rsid w:val="001A067E"/>
    <w:rsid w:val="001C3DB7"/>
    <w:rsid w:val="001D764C"/>
    <w:rsid w:val="001E1757"/>
    <w:rsid w:val="001E4125"/>
    <w:rsid w:val="001F4768"/>
    <w:rsid w:val="00214AA4"/>
    <w:rsid w:val="002456DC"/>
    <w:rsid w:val="002672CF"/>
    <w:rsid w:val="002764BF"/>
    <w:rsid w:val="002A7FBA"/>
    <w:rsid w:val="002B4405"/>
    <w:rsid w:val="002D0936"/>
    <w:rsid w:val="00300EEC"/>
    <w:rsid w:val="0035248F"/>
    <w:rsid w:val="003A0134"/>
    <w:rsid w:val="003A7ECF"/>
    <w:rsid w:val="003C3BC1"/>
    <w:rsid w:val="003F26EB"/>
    <w:rsid w:val="00415BBF"/>
    <w:rsid w:val="00423020"/>
    <w:rsid w:val="00437D6A"/>
    <w:rsid w:val="004415A0"/>
    <w:rsid w:val="004419D9"/>
    <w:rsid w:val="004C4417"/>
    <w:rsid w:val="004E6C50"/>
    <w:rsid w:val="0050084A"/>
    <w:rsid w:val="005054D3"/>
    <w:rsid w:val="00520680"/>
    <w:rsid w:val="005211A3"/>
    <w:rsid w:val="005238B0"/>
    <w:rsid w:val="0057123B"/>
    <w:rsid w:val="005759CD"/>
    <w:rsid w:val="005836BD"/>
    <w:rsid w:val="005A6970"/>
    <w:rsid w:val="005C178A"/>
    <w:rsid w:val="00614FF8"/>
    <w:rsid w:val="00626C72"/>
    <w:rsid w:val="0066668B"/>
    <w:rsid w:val="006A093C"/>
    <w:rsid w:val="006B19C8"/>
    <w:rsid w:val="006B7561"/>
    <w:rsid w:val="006D7B31"/>
    <w:rsid w:val="006E018E"/>
    <w:rsid w:val="006E2BEF"/>
    <w:rsid w:val="00720D92"/>
    <w:rsid w:val="00732B62"/>
    <w:rsid w:val="00752877"/>
    <w:rsid w:val="00762C61"/>
    <w:rsid w:val="007D754C"/>
    <w:rsid w:val="007E5569"/>
    <w:rsid w:val="007E64DA"/>
    <w:rsid w:val="008718E6"/>
    <w:rsid w:val="00875658"/>
    <w:rsid w:val="008960D1"/>
    <w:rsid w:val="008A5522"/>
    <w:rsid w:val="00921EDF"/>
    <w:rsid w:val="00932835"/>
    <w:rsid w:val="0093479F"/>
    <w:rsid w:val="009357AD"/>
    <w:rsid w:val="00947CEB"/>
    <w:rsid w:val="00955BF0"/>
    <w:rsid w:val="00963A07"/>
    <w:rsid w:val="00997711"/>
    <w:rsid w:val="009F53FD"/>
    <w:rsid w:val="00A2531E"/>
    <w:rsid w:val="00A253E8"/>
    <w:rsid w:val="00A6787B"/>
    <w:rsid w:val="00AA71A4"/>
    <w:rsid w:val="00AB0186"/>
    <w:rsid w:val="00AB23A3"/>
    <w:rsid w:val="00AC598A"/>
    <w:rsid w:val="00AC6007"/>
    <w:rsid w:val="00AD2E46"/>
    <w:rsid w:val="00AE1000"/>
    <w:rsid w:val="00B37860"/>
    <w:rsid w:val="00B458C2"/>
    <w:rsid w:val="00B623E3"/>
    <w:rsid w:val="00B71F68"/>
    <w:rsid w:val="00B80A2E"/>
    <w:rsid w:val="00BB210D"/>
    <w:rsid w:val="00BC5ABA"/>
    <w:rsid w:val="00BE0D80"/>
    <w:rsid w:val="00C07DAA"/>
    <w:rsid w:val="00C20934"/>
    <w:rsid w:val="00C30AE4"/>
    <w:rsid w:val="00C40BDF"/>
    <w:rsid w:val="00C84621"/>
    <w:rsid w:val="00CA7260"/>
    <w:rsid w:val="00CC5F4E"/>
    <w:rsid w:val="00D31FDC"/>
    <w:rsid w:val="00D4224E"/>
    <w:rsid w:val="00D5067E"/>
    <w:rsid w:val="00D54A23"/>
    <w:rsid w:val="00D56901"/>
    <w:rsid w:val="00DC4B07"/>
    <w:rsid w:val="00DC5568"/>
    <w:rsid w:val="00DE6CCE"/>
    <w:rsid w:val="00DF2DDB"/>
    <w:rsid w:val="00E24DBA"/>
    <w:rsid w:val="00E62E1B"/>
    <w:rsid w:val="00E63DCC"/>
    <w:rsid w:val="00E8652E"/>
    <w:rsid w:val="00EB0DF0"/>
    <w:rsid w:val="00ED2B29"/>
    <w:rsid w:val="00F25D4D"/>
    <w:rsid w:val="00F331A5"/>
    <w:rsid w:val="00F46C87"/>
    <w:rsid w:val="00F80C87"/>
    <w:rsid w:val="00F94E66"/>
    <w:rsid w:val="00FB7B09"/>
    <w:rsid w:val="00FC72D9"/>
    <w:rsid w:val="03D472B5"/>
    <w:rsid w:val="03D871FB"/>
    <w:rsid w:val="1A106755"/>
    <w:rsid w:val="24FF210F"/>
    <w:rsid w:val="2A8B0900"/>
    <w:rsid w:val="2DE2272B"/>
    <w:rsid w:val="4BE360D5"/>
    <w:rsid w:val="51020E22"/>
    <w:rsid w:val="53C42C27"/>
    <w:rsid w:val="653D3BA0"/>
    <w:rsid w:val="683C36BA"/>
    <w:rsid w:val="71446676"/>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3649</Words>
  <Characters>4265</Characters>
  <Lines>0</Lines>
  <Paragraphs>0</Paragraphs>
  <TotalTime>27</TotalTime>
  <ScaleCrop>false</ScaleCrop>
  <LinksUpToDate>false</LinksUpToDate>
  <CharactersWithSpaces>4661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2022-08-04T05:44:00Z</dcterms:created>
  <dc:creator>a</dc:creator>
  <cp:lastModifiedBy>Administrator</cp:lastModifiedBy>
  <cp:lastPrinted>2020-11-05T00:59:00Z</cp:lastPrinted>
  <dcterms:modified xsi:type="dcterms:W3CDTF">2022-01-04T02:44:36Z</dcterms:modified>
  <dc:title>2017年长春市工业和信息化局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9F38E11700FF4624945615B99B6415A0</vt:lpwstr>
  </property>
</Properties>
</file>