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年中共长春市二道区委统战部</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部门预算公开</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2022</w:t>
      </w:r>
      <w:r>
        <w:rPr>
          <w:rFonts w:hint="eastAsia" w:ascii="宋体" w:hAnsi="宋体" w:cs="宋体"/>
          <w:sz w:val="44"/>
          <w:szCs w:val="44"/>
        </w:rPr>
        <w:t>年度长春市二道区委统战部</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中共长春市二道区委统一战线工作部（以下简称区委统战部）是区委主管统一战线工作和对台工作的职能部门，为正处级，统一领导和管理民族宗教、侨务工作。对外加挂区民族宗教事务局、区政府侨务办公室牌子。</w:t>
      </w:r>
    </w:p>
    <w:p>
      <w:pPr>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区委统一战线工作领导小组办公室设在区委统战部。</w:t>
      </w:r>
    </w:p>
    <w:p>
      <w:pPr>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区委统战部的主要职责是：</w:t>
      </w:r>
    </w:p>
    <w:p>
      <w:pPr>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一）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和落实中央和省、市、区委关于统一战线工作重大决策部署，巩固壮大最广泛的统一战线。</w:t>
      </w:r>
    </w:p>
    <w:p>
      <w:pPr>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hint="eastAsia" w:ascii="仿宋" w:hAnsi="仿宋" w:eastAsia="仿宋" w:cs="Times New Roman"/>
          <w:sz w:val="32"/>
          <w:szCs w:val="32"/>
        </w:rPr>
        <w:t>贯彻落实统一战线工作的理论、政策和法律法规，深入调查研究，及时向区委报告统一战线工作情况并提出建议，统筹协调各部门各单位统一战线工作。</w:t>
      </w:r>
    </w:p>
    <w:p>
      <w:pPr>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三）负责发现、培养党外代表人士，负责党外人士的政治安排，会同有关部门做好安排党外人士担任政府和司法机关等领导职务的工作，协助区级各民主党派、工商联做好干部管理工作，反映和协调解决党外代表人士工作生活中的实际困难。</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（四）贯彻落实党的宣传工作方针、政策和规划，开展统一战线宣传工作，研判涉及统一战线的舆情并协调有关部门应对处置。</w:t>
      </w:r>
    </w:p>
    <w:p>
      <w:pPr>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（六）贯彻落实党的民族工作方针、政策和重大措施，协调处理民族工作中的重大问题，根据分工做好少数民族干部工作，依法管理全区民族事务，全面促进民族事业发展。</w:t>
      </w:r>
    </w:p>
    <w:p>
      <w:pPr>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（七）统一领导全区宗教工作，贯彻落实党的宗教工作基本方针和政策，依法管理宗教工作，引导各宗教坚持中国化方向，巩固和发展同宗教界的爱国统一战线。</w:t>
      </w:r>
    </w:p>
    <w:p>
      <w:pPr>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八）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pPr>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九）推动落实鼓励支持引导非公有制经济发展的方针政策，调查研究非公有制经济人士情况并提出政策建议，了解和反映非公有制经济人士的意见，团结、服务、引导、教育非公有制经济人士，促进非公有制经济健康发展和非公有制经济人士健康成长。</w:t>
      </w:r>
    </w:p>
    <w:p>
      <w:pPr>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（十）牵头开展港澳统战工作，开展对台统战工作。贯彻落实海外统战工作政策和规划，联系香港、澳门、台湾有关党派、团体及代表人士，联系海外有关社团及代表人士，做好台胞、台属有关工作。</w:t>
      </w:r>
    </w:p>
    <w:p>
      <w:pPr>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十一）统一管理全区侨务工作，贯彻落实党的侨务工作方针政策、规划，调查研究区内外侨情和侨务工作情况，管理侨务行政事务，统筹协调有关部门和社会团体涉侨工作，联系海外有关侨团和代表人士，指导推动涉侨宣传、文化交流工作等，保护华侨和归侨侨眷在国内的合法权利和利益。</w:t>
      </w:r>
    </w:p>
    <w:p>
      <w:pPr>
        <w:rPr>
          <w:rFonts w:ascii="Times New Roman" w:hAnsi="Times New Roman"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（十二）受区委委托，领导区工商联党组，指导工商联工作。做好统一战线有关团体的管理工作，管理区台湾同胞联谊会，联系、指导区归国华侨联合会工作。</w:t>
      </w:r>
    </w:p>
    <w:p>
      <w:pPr>
        <w:widowControl/>
        <w:spacing w:before="100" w:beforeAutospacing="1" w:after="100" w:afterAutospacing="1" w:line="360" w:lineRule="auto"/>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（十三）完成区委交办的其他任务。</w:t>
      </w:r>
    </w:p>
    <w:p>
      <w:pPr>
        <w:widowControl/>
        <w:spacing w:before="100" w:beforeAutospacing="1" w:after="100" w:afterAutospacing="1" w:line="360" w:lineRule="auto"/>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二、内设机构</w:t>
      </w:r>
    </w:p>
    <w:p>
      <w:pPr>
        <w:rPr>
          <w:rFonts w:ascii="仿宋_GB2312" w:eastAsia="仿宋_GB2312"/>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（一）综合指导科。负责机关日常运转工作；负责</w:t>
      </w:r>
      <w:r>
        <w:rPr>
          <w:rFonts w:hint="eastAsia" w:ascii="仿宋_GB2312" w:eastAsia="仿宋_GB2312"/>
          <w:sz w:val="32"/>
          <w:szCs w:val="32"/>
        </w:rPr>
        <w:t>联系区级各民主党派和无党派；联系并培养党外知识分子代表人物，负责加强新的社会阶层人士统战工作；负责党外干部队伍建设工作；负责非公有制经济人士统战工作；</w:t>
      </w:r>
      <w:r>
        <w:rPr>
          <w:rFonts w:hint="eastAsia" w:ascii="Times New Roman" w:hAnsi="Times New Roman" w:eastAsia="仿宋" w:cs="Times New Roman"/>
          <w:sz w:val="32"/>
          <w:szCs w:val="32"/>
        </w:rPr>
        <w:t>负责联系香港、澳门、海外有关社团及代表人士；</w:t>
      </w:r>
      <w:r>
        <w:rPr>
          <w:rFonts w:hint="eastAsia" w:ascii="仿宋_GB2312" w:eastAsia="仿宋_GB2312"/>
          <w:sz w:val="32"/>
          <w:szCs w:val="32"/>
        </w:rPr>
        <w:t>负责开展对台宣传、教育工作，</w:t>
      </w:r>
      <w:r>
        <w:rPr>
          <w:rFonts w:hint="eastAsia" w:ascii="Times New Roman" w:hAnsi="Times New Roman" w:eastAsia="仿宋" w:cs="Times New Roman"/>
          <w:sz w:val="32"/>
          <w:szCs w:val="32"/>
        </w:rPr>
        <w:t>做好台胞台属的有关工作；负责管理侨务工作。</w:t>
      </w:r>
    </w:p>
    <w:p>
      <w:pPr>
        <w:rPr>
          <w:rFonts w:ascii="仿宋" w:hAnsi="仿宋"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（二）民族宗教科。</w:t>
      </w:r>
      <w:r>
        <w:rPr>
          <w:rFonts w:hint="eastAsia" w:ascii="仿宋" w:hAnsi="仿宋" w:eastAsia="仿宋" w:cs="Times New Roman"/>
          <w:sz w:val="32"/>
          <w:szCs w:val="32"/>
        </w:rPr>
        <w:t>贯彻落实党的民族宗教工作基本方针和政策，</w:t>
      </w:r>
      <w:r>
        <w:rPr>
          <w:rFonts w:hint="eastAsia" w:ascii="Times New Roman" w:hAnsi="Times New Roman" w:eastAsia="仿宋" w:cs="Times New Roman"/>
          <w:sz w:val="32"/>
          <w:szCs w:val="32"/>
        </w:rPr>
        <w:t>开展民族宗教工作重大问题的调查研究，</w:t>
      </w:r>
      <w:r>
        <w:rPr>
          <w:rFonts w:hint="eastAsia" w:ascii="仿宋" w:hAnsi="仿宋" w:eastAsia="仿宋" w:cs="Times New Roman"/>
          <w:sz w:val="32"/>
          <w:szCs w:val="32"/>
        </w:rPr>
        <w:t>依法管理民族宗教事务，联系少数民族代表人士，联系、培养宗教界代表人士。配合有关部门对宗教场所安全生产管理的监督检查，指导督促宗教场所落实安全管理职责。</w:t>
      </w:r>
    </w:p>
    <w:p>
      <w:pPr>
        <w:widowControl/>
        <w:spacing w:before="100" w:beforeAutospacing="1" w:after="100" w:afterAutospacing="1" w:line="360" w:lineRule="auto"/>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（三）二道区宗教事务服务中心。为全区宗教事务工作提供服务保障。</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长春市二道区委统战部本级共计</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长春市二道区委统战部本级现有人员</w:t>
      </w:r>
      <w:r>
        <w:rPr>
          <w:rFonts w:ascii="宋体" w:hAnsi="宋体" w:cs="宋体"/>
          <w:color w:val="3E3E3E"/>
          <w:kern w:val="0"/>
          <w:sz w:val="32"/>
          <w:szCs w:val="32"/>
        </w:rPr>
        <w:t>17</w:t>
      </w:r>
      <w:r>
        <w:rPr>
          <w:rFonts w:hint="eastAsia" w:ascii="宋体" w:hAnsi="宋体" w:cs="宋体"/>
          <w:color w:val="3E3E3E"/>
          <w:kern w:val="0"/>
          <w:sz w:val="32"/>
          <w:szCs w:val="32"/>
        </w:rPr>
        <w:t>人，其中，在职人员</w:t>
      </w:r>
      <w:r>
        <w:rPr>
          <w:rFonts w:ascii="宋体" w:hAnsi="宋体" w:cs="宋体"/>
          <w:color w:val="3E3E3E"/>
          <w:kern w:val="0"/>
          <w:sz w:val="32"/>
          <w:szCs w:val="32"/>
        </w:rPr>
        <w:t>11</w:t>
      </w:r>
      <w:r>
        <w:rPr>
          <w:rFonts w:hint="eastAsia" w:ascii="宋体" w:hAnsi="宋体" w:cs="宋体"/>
          <w:color w:val="3E3E3E"/>
          <w:kern w:val="0"/>
          <w:sz w:val="32"/>
          <w:szCs w:val="32"/>
        </w:rPr>
        <w:t>人，退休人员</w:t>
      </w:r>
      <w:r>
        <w:rPr>
          <w:rFonts w:ascii="宋体" w:hAnsi="宋体" w:cs="宋体"/>
          <w:color w:val="3E3E3E"/>
          <w:kern w:val="0"/>
          <w:sz w:val="32"/>
          <w:szCs w:val="32"/>
        </w:rPr>
        <w:t>6</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ascii="宋体" w:cs="Times New Roman"/>
                <w:kern w:val="0"/>
                <w:sz w:val="16"/>
                <w:szCs w:val="16"/>
              </w:rPr>
            </w:pPr>
            <w:r>
              <w:rPr>
                <w:rFonts w:hint="eastAsia" w:ascii="宋体" w:hAnsi="宋体" w:cs="宋体"/>
                <w:kern w:val="0"/>
                <w:sz w:val="16"/>
                <w:szCs w:val="16"/>
              </w:rPr>
              <w:t>部门（单位）名称：中共</w:t>
            </w:r>
            <w:r>
              <w:rPr>
                <w:rFonts w:hint="eastAsia" w:ascii="宋体" w:hAnsi="宋体" w:cs="宋体"/>
                <w:kern w:val="0"/>
              </w:rPr>
              <w:t>长春市二道区委统战部</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cs="Times New Roman"/>
                <w:b/>
                <w:bCs/>
                <w:color w:val="0000FF"/>
                <w:kern w:val="0"/>
                <w:sz w:val="16"/>
                <w:szCs w:val="16"/>
              </w:rPr>
              <w:t>182.17</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r>
              <w:rPr>
                <w:rFonts w:ascii="宋体" w:cs="Times New Roman"/>
                <w:b/>
                <w:bCs/>
                <w:color w:val="000000"/>
                <w:kern w:val="0"/>
                <w:sz w:val="16"/>
                <w:szCs w:val="16"/>
              </w:rPr>
              <w:t>182.17</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182.17</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六、资源勘探电力信息等事务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本年收入合计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cs="Times New Roman"/>
                <w:color w:val="008000"/>
                <w:kern w:val="0"/>
                <w:sz w:val="16"/>
                <w:szCs w:val="16"/>
              </w:rPr>
              <w:t>182.17</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本年支出合计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cs="Times New Roman"/>
                <w:color w:val="008000"/>
                <w:kern w:val="0"/>
                <w:sz w:val="16"/>
                <w:szCs w:val="16"/>
              </w:rPr>
              <w:t>182.17</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cs="Times New Roman"/>
                <w:color w:val="000000"/>
                <w:kern w:val="0"/>
                <w:sz w:val="16"/>
                <w:szCs w:val="16"/>
              </w:rPr>
              <w:t>182.17</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收入总计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182.17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支出总计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cs="Times New Roman"/>
                <w:color w:val="008000"/>
                <w:kern w:val="0"/>
                <w:sz w:val="16"/>
                <w:szCs w:val="16"/>
              </w:rPr>
              <w:t>182.17</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ascii="宋体" w:cs="Times New Roman"/>
                <w:b/>
                <w:bCs/>
                <w:color w:val="000000"/>
                <w:kern w:val="0"/>
                <w:sz w:val="16"/>
                <w:szCs w:val="16"/>
              </w:rPr>
              <w:t>182.17</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w:t>
            </w:r>
            <w:r>
              <w:rPr>
                <w:rFonts w:hint="eastAsia" w:ascii="宋体" w:hAnsi="宋体" w:cs="宋体"/>
                <w:kern w:val="0"/>
                <w:sz w:val="16"/>
                <w:szCs w:val="16"/>
              </w:rPr>
              <w:t>中共</w:t>
            </w:r>
            <w:r>
              <w:rPr>
                <w:rFonts w:hint="eastAsia" w:ascii="宋体" w:hAnsi="宋体" w:cs="宋体"/>
                <w:kern w:val="0"/>
              </w:rPr>
              <w:t>长春市二道区委统战部</w:t>
            </w:r>
            <w:r>
              <w:rPr>
                <w:rFonts w:hint="eastAsia" w:ascii="Arial" w:hAnsi="Arial" w:cs="宋体"/>
                <w:color w:val="000000"/>
                <w:kern w:val="0"/>
                <w:sz w:val="20"/>
                <w:szCs w:val="20"/>
              </w:rPr>
              <w:t>单位：万元</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一、一般公共服务支出（</w:t>
            </w:r>
            <w:r>
              <w:rPr>
                <w:rFonts w:ascii="宋体" w:hAnsi="宋体" w:cs="宋体"/>
                <w:b/>
                <w:bCs/>
                <w:color w:val="000000"/>
                <w:kern w:val="0"/>
                <w:sz w:val="20"/>
                <w:szCs w:val="20"/>
              </w:rPr>
              <w:t>201</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统战事务（</w:t>
            </w:r>
            <w:r>
              <w:rPr>
                <w:rFonts w:ascii="宋体" w:hAnsi="宋体" w:cs="宋体"/>
                <w:color w:val="000000"/>
                <w:kern w:val="0"/>
                <w:sz w:val="20"/>
                <w:szCs w:val="20"/>
              </w:rPr>
              <w:t>20134</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行政运行（</w:t>
            </w:r>
            <w:r>
              <w:rPr>
                <w:rFonts w:ascii="宋体" w:hAnsi="宋体" w:cs="宋体"/>
                <w:color w:val="000000"/>
                <w:kern w:val="0"/>
                <w:sz w:val="20"/>
                <w:szCs w:val="20"/>
              </w:rPr>
              <w:t>2013401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ascii="宋体" w:cs="Times New Roman"/>
                <w:color w:val="0000FF"/>
                <w:kern w:val="0"/>
                <w:sz w:val="22"/>
                <w:szCs w:val="22"/>
              </w:rPr>
              <w:t>130.07</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一般行政管理事务（</w:t>
            </w:r>
            <w:r>
              <w:rPr>
                <w:rFonts w:ascii="宋体" w:hAnsi="宋体" w:cs="宋体"/>
                <w:color w:val="000000"/>
                <w:kern w:val="0"/>
                <w:sz w:val="20"/>
                <w:szCs w:val="20"/>
              </w:rPr>
              <w:t>2013402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ascii="宋体" w:cs="Times New Roman"/>
                <w:color w:val="0000FF"/>
                <w:kern w:val="0"/>
                <w:sz w:val="22"/>
                <w:szCs w:val="22"/>
              </w:rPr>
              <w:t>52.1</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ascii="宋体" w:hAnsi="宋体" w:cs="宋体"/>
                <w:b/>
                <w:bCs/>
                <w:color w:val="0000FF"/>
                <w:kern w:val="0"/>
                <w:sz w:val="22"/>
                <w:szCs w:val="22"/>
              </w:rPr>
              <w:t>182.17</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4590" w:type="dxa"/>
            <w:gridSpan w:val="2"/>
            <w:tcBorders>
              <w:top w:val="nil"/>
              <w:left w:val="nil"/>
              <w:bottom w:val="single" w:color="auto" w:sz="4" w:space="0"/>
              <w:right w:val="nil"/>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部门（单位）名称：</w:t>
            </w:r>
            <w:r>
              <w:rPr>
                <w:rFonts w:hint="eastAsia" w:ascii="宋体" w:hAnsi="宋体" w:cs="宋体"/>
                <w:kern w:val="0"/>
                <w:sz w:val="16"/>
                <w:szCs w:val="16"/>
              </w:rPr>
              <w:t>中共</w:t>
            </w:r>
            <w:r>
              <w:rPr>
                <w:rFonts w:hint="eastAsia" w:ascii="宋体" w:hAnsi="宋体" w:cs="宋体"/>
                <w:kern w:val="0"/>
              </w:rPr>
              <w:t>长春市二道区委统战部</w:t>
            </w:r>
          </w:p>
        </w:tc>
        <w:tc>
          <w:tcPr>
            <w:tcW w:w="136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2017</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50.1</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津贴补贴</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33.23</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社会保障缴费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23.19</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其他工资福利支出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5.08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印刷费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咨询费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手续费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水电费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30206</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邮电费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0.1</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30207</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取暖费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30208</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物业管理费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公务用车运行维护费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30210</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差旅费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10.25</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30306</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其他对个人和家庭补助支出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奖金</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cs="Times New Roman"/>
                <w:b/>
                <w:bCs/>
                <w:color w:val="000000"/>
                <w:kern w:val="0"/>
                <w:sz w:val="24"/>
                <w:szCs w:val="24"/>
              </w:rPr>
              <w:t>4.19</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其他资本性支出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right"/>
              <w:rPr>
                <w:rFonts w:ascii="宋体" w:cs="Times New Roman"/>
                <w:color w:val="000000"/>
                <w:kern w:val="0"/>
                <w:sz w:val="24"/>
                <w:szCs w:val="24"/>
              </w:rPr>
            </w:pPr>
            <w:r>
              <w:rPr>
                <w:rFonts w:ascii="宋体" w:hAnsi="宋体" w:cs="宋体"/>
                <w:color w:val="000000"/>
                <w:kern w:val="0"/>
                <w:sz w:val="24"/>
                <w:szCs w:val="24"/>
              </w:rPr>
              <w:t>30401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办公设备购置</w:t>
            </w:r>
          </w:p>
        </w:tc>
        <w:tc>
          <w:tcPr>
            <w:tcW w:w="136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c>
          <w:tcPr>
            <w:tcW w:w="144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4"/>
                <w:szCs w:val="24"/>
              </w:rPr>
            </w:pPr>
          </w:p>
        </w:tc>
        <w:tc>
          <w:tcPr>
            <w:tcW w:w="123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合计</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8"/>
                <w:szCs w:val="28"/>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8"/>
                <w:szCs w:val="28"/>
              </w:rPr>
            </w:pPr>
            <w:r>
              <w:rPr>
                <w:rFonts w:ascii="宋体" w:cs="Times New Roman"/>
                <w:b/>
                <w:bCs/>
                <w:color w:val="000000"/>
                <w:kern w:val="0"/>
                <w:sz w:val="28"/>
                <w:szCs w:val="28"/>
              </w:rPr>
              <w:t>114.57</w:t>
            </w:r>
          </w:p>
        </w:tc>
        <w:tc>
          <w:tcPr>
            <w:tcW w:w="1230" w:type="dxa"/>
            <w:tcBorders>
              <w:top w:val="nil"/>
              <w:left w:val="nil"/>
              <w:bottom w:val="single" w:color="auto" w:sz="4" w:space="0"/>
              <w:right w:val="single" w:color="auto" w:sz="4" w:space="0"/>
            </w:tcBorders>
            <w:vAlign w:val="bottom"/>
          </w:tcPr>
          <w:p>
            <w:pPr>
              <w:widowControl/>
              <w:jc w:val="right"/>
              <w:rPr>
                <w:rFonts w:ascii="Arial" w:hAnsi="Arial" w:cs="Arial"/>
                <w:b/>
                <w:bCs/>
                <w:color w:val="000000"/>
                <w:kern w:val="0"/>
                <w:sz w:val="28"/>
                <w:szCs w:val="28"/>
              </w:rPr>
            </w:pPr>
            <w:r>
              <w:rPr>
                <w:rFonts w:ascii="Arial" w:hAnsi="Arial" w:cs="Arial"/>
                <w:b/>
                <w:bCs/>
                <w:color w:val="000000"/>
                <w:kern w:val="0"/>
                <w:sz w:val="28"/>
                <w:szCs w:val="28"/>
              </w:rPr>
              <w:t>15.5</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6"/>
                <w:szCs w:val="16"/>
              </w:rPr>
              <w:t>中共</w:t>
            </w:r>
            <w:r>
              <w:rPr>
                <w:rFonts w:hint="eastAsia" w:ascii="宋体" w:hAnsi="宋体" w:cs="宋体"/>
                <w:kern w:val="0"/>
              </w:rPr>
              <w:t>长春市二道区委统战部</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2017</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2016</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合计</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hint="eastAsia" w:ascii="宋体" w:hAnsi="宋体" w:cs="宋体"/>
                <w:color w:val="000000"/>
                <w:kern w:val="0"/>
                <w:sz w:val="18"/>
                <w:szCs w:val="18"/>
              </w:rPr>
              <w:t>个预算单位。</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17</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11</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6</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6"/>
                <w:szCs w:val="16"/>
              </w:rPr>
              <w:t>中共</w:t>
            </w:r>
            <w:r>
              <w:rPr>
                <w:rFonts w:hint="eastAsia" w:ascii="宋体" w:hAnsi="宋体" w:cs="宋体"/>
                <w:kern w:val="0"/>
              </w:rPr>
              <w:t>长春市二道区委统战部</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工资福利支出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基本工资</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社会保障费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商品和服务支出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办公费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水电费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邮电费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取暖费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30205</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公务用车维护费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30206</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差旅费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福利费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退休费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公积金</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工伤保险</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其他资本性支出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30401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大型修缮</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6"/>
                <w:szCs w:val="16"/>
              </w:rPr>
              <w:t>中共</w:t>
            </w:r>
            <w:r>
              <w:rPr>
                <w:rFonts w:hint="eastAsia" w:ascii="宋体" w:hAnsi="宋体" w:cs="宋体"/>
                <w:kern w:val="0"/>
              </w:rPr>
              <w:t>长春市二道区委统战部</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r>
              <w:rPr>
                <w:rFonts w:ascii="宋体" w:hAnsi="宋体" w:cs="宋体"/>
                <w:color w:val="000000"/>
                <w:kern w:val="0"/>
                <w:sz w:val="18"/>
                <w:szCs w:val="18"/>
              </w:rPr>
              <w:t>182.17</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r>
              <w:rPr>
                <w:rFonts w:ascii="宋体" w:cs="Times New Roman"/>
                <w:color w:val="000000"/>
                <w:kern w:val="0"/>
                <w:sz w:val="18"/>
                <w:szCs w:val="18"/>
              </w:rPr>
              <w:t>182.17</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ascii="黑体" w:hAnsi="黑体" w:eastAsia="黑体" w:cs="黑体"/>
                <w:b/>
                <w:bCs/>
                <w:color w:val="000000"/>
                <w:kern w:val="0"/>
                <w:sz w:val="18"/>
                <w:szCs w:val="18"/>
              </w:rPr>
            </w:pPr>
            <w:r>
              <w:rPr>
                <w:rFonts w:ascii="黑体" w:hAnsi="黑体" w:eastAsia="黑体" w:cs="黑体"/>
                <w:b/>
                <w:bCs/>
                <w:color w:val="000000"/>
                <w:kern w:val="0"/>
                <w:sz w:val="18"/>
                <w:szCs w:val="18"/>
              </w:rPr>
              <w:t>182.17</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ascii="宋体" w:hAnsi="宋体" w:cs="宋体"/>
                <w:b/>
                <w:bCs/>
                <w:color w:val="000000"/>
                <w:kern w:val="0"/>
                <w:sz w:val="18"/>
                <w:szCs w:val="18"/>
              </w:rPr>
              <w:t>182.17</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923"/>
        <w:gridCol w:w="1701"/>
        <w:gridCol w:w="992"/>
        <w:gridCol w:w="486"/>
        <w:gridCol w:w="365"/>
        <w:gridCol w:w="271"/>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4"/>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7"/>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738" w:type="dxa"/>
            <w:gridSpan w:val="6"/>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w:t>
            </w:r>
            <w:r>
              <w:rPr>
                <w:rFonts w:hint="eastAsia" w:ascii="宋体" w:hAnsi="宋体" w:cs="宋体"/>
                <w:kern w:val="0"/>
                <w:sz w:val="16"/>
                <w:szCs w:val="16"/>
              </w:rPr>
              <w:t>中共</w:t>
            </w:r>
            <w:r>
              <w:rPr>
                <w:rFonts w:hint="eastAsia" w:ascii="宋体" w:hAnsi="宋体" w:cs="宋体"/>
                <w:kern w:val="0"/>
              </w:rPr>
              <w:t>长春市二道区委统战部</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923"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1701"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850"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9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85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90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kern w:val="0"/>
                <w:sz w:val="18"/>
                <w:szCs w:val="18"/>
              </w:rPr>
            </w:pPr>
            <w:r>
              <w:rPr>
                <w:rFonts w:ascii="宋体" w:hAnsi="宋体" w:cs="宋体"/>
                <w:kern w:val="0"/>
                <w:sz w:val="18"/>
                <w:szCs w:val="18"/>
              </w:rPr>
              <w:t>201</w:t>
            </w:r>
          </w:p>
        </w:tc>
        <w:tc>
          <w:tcPr>
            <w:tcW w:w="1701"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一般公共服务支出</w:t>
            </w:r>
          </w:p>
        </w:tc>
        <w:tc>
          <w:tcPr>
            <w:tcW w:w="992"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907"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kern w:val="0"/>
                <w:sz w:val="18"/>
                <w:szCs w:val="18"/>
              </w:rPr>
            </w:pPr>
            <w:r>
              <w:rPr>
                <w:rFonts w:ascii="宋体" w:hAnsi="宋体" w:cs="宋体"/>
                <w:kern w:val="0"/>
                <w:sz w:val="18"/>
                <w:szCs w:val="18"/>
              </w:rPr>
              <w:t>20134</w:t>
            </w:r>
          </w:p>
        </w:tc>
        <w:tc>
          <w:tcPr>
            <w:tcW w:w="1701" w:type="dxa"/>
            <w:tcBorders>
              <w:top w:val="single" w:color="auto" w:sz="4" w:space="0"/>
              <w:left w:val="nil"/>
              <w:bottom w:val="single" w:color="auto" w:sz="4" w:space="0"/>
              <w:right w:val="single" w:color="000000"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统战事务</w:t>
            </w:r>
          </w:p>
        </w:tc>
        <w:tc>
          <w:tcPr>
            <w:tcW w:w="992"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907"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kern w:val="0"/>
                <w:sz w:val="18"/>
                <w:szCs w:val="18"/>
              </w:rPr>
            </w:pPr>
            <w:r>
              <w:rPr>
                <w:rFonts w:ascii="宋体" w:hAnsi="宋体" w:cs="宋体"/>
                <w:kern w:val="0"/>
                <w:sz w:val="18"/>
                <w:szCs w:val="18"/>
              </w:rPr>
              <w:t>2013401</w:t>
            </w:r>
          </w:p>
        </w:tc>
        <w:tc>
          <w:tcPr>
            <w:tcW w:w="1701" w:type="dxa"/>
            <w:tcBorders>
              <w:top w:val="single" w:color="auto" w:sz="4" w:space="0"/>
              <w:left w:val="nil"/>
              <w:bottom w:val="single" w:color="auto" w:sz="4" w:space="0"/>
              <w:right w:val="single" w:color="000000"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　　行政运行</w:t>
            </w:r>
          </w:p>
        </w:tc>
        <w:tc>
          <w:tcPr>
            <w:tcW w:w="992"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r>
              <w:rPr>
                <w:rFonts w:ascii="宋体" w:cs="Times New Roman"/>
                <w:kern w:val="0"/>
                <w:sz w:val="18"/>
                <w:szCs w:val="18"/>
              </w:rPr>
              <w:t>130.07</w:t>
            </w:r>
          </w:p>
        </w:tc>
        <w:tc>
          <w:tcPr>
            <w:tcW w:w="907"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r>
              <w:rPr>
                <w:rFonts w:ascii="宋体" w:cs="Times New Roman"/>
                <w:kern w:val="0"/>
                <w:sz w:val="18"/>
                <w:szCs w:val="18"/>
              </w:rPr>
              <w:t>130.07</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kern w:val="0"/>
                <w:sz w:val="18"/>
                <w:szCs w:val="18"/>
              </w:rPr>
            </w:pPr>
            <w:r>
              <w:rPr>
                <w:rFonts w:ascii="宋体" w:hAnsi="宋体" w:cs="宋体"/>
                <w:kern w:val="0"/>
                <w:sz w:val="18"/>
                <w:szCs w:val="18"/>
              </w:rPr>
              <w:t>2013402</w:t>
            </w:r>
          </w:p>
        </w:tc>
        <w:tc>
          <w:tcPr>
            <w:tcW w:w="1701"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一般行政管理事务</w:t>
            </w:r>
          </w:p>
        </w:tc>
        <w:tc>
          <w:tcPr>
            <w:tcW w:w="992"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r>
              <w:rPr>
                <w:rFonts w:ascii="宋体" w:cs="Times New Roman"/>
                <w:kern w:val="0"/>
                <w:sz w:val="18"/>
                <w:szCs w:val="18"/>
              </w:rPr>
              <w:t>52.1</w:t>
            </w:r>
          </w:p>
        </w:tc>
        <w:tc>
          <w:tcPr>
            <w:tcW w:w="907"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r>
              <w:rPr>
                <w:rFonts w:ascii="宋体" w:cs="Times New Roman"/>
                <w:kern w:val="0"/>
                <w:sz w:val="18"/>
                <w:szCs w:val="18"/>
              </w:rPr>
              <w:t>52.1</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r>
      <w:tr>
        <w:tblPrEx>
          <w:tblCellMar>
            <w:top w:w="0" w:type="dxa"/>
            <w:left w:w="108" w:type="dxa"/>
            <w:bottom w:w="0" w:type="dxa"/>
            <w:right w:w="108" w:type="dxa"/>
          </w:tblCellMar>
        </w:tblPrEx>
        <w:trPr>
          <w:trHeight w:val="225" w:hRule="atLeast"/>
        </w:trPr>
        <w:tc>
          <w:tcPr>
            <w:tcW w:w="923" w:type="dxa"/>
            <w:tcBorders>
              <w:top w:val="single" w:color="auto" w:sz="4" w:space="0"/>
              <w:left w:val="nil"/>
              <w:bottom w:val="nil"/>
              <w:right w:val="nil"/>
            </w:tcBorders>
            <w:vAlign w:val="bottom"/>
          </w:tcPr>
          <w:p>
            <w:pPr>
              <w:widowControl/>
              <w:jc w:val="left"/>
              <w:rPr>
                <w:rFonts w:ascii="Arial" w:hAnsi="Arial" w:cs="Arial"/>
                <w:kern w:val="0"/>
                <w:sz w:val="18"/>
                <w:szCs w:val="18"/>
              </w:rPr>
            </w:pPr>
            <w:r>
              <w:rPr>
                <w:rFonts w:hint="eastAsia" w:ascii="Arial" w:hAnsi="Arial" w:cs="宋体"/>
                <w:kern w:val="0"/>
                <w:sz w:val="18"/>
                <w:szCs w:val="18"/>
              </w:rPr>
              <w:t>　</w:t>
            </w:r>
          </w:p>
        </w:tc>
        <w:tc>
          <w:tcPr>
            <w:tcW w:w="1701"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合计</w:t>
            </w:r>
          </w:p>
        </w:tc>
        <w:tc>
          <w:tcPr>
            <w:tcW w:w="992"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r>
              <w:rPr>
                <w:rFonts w:ascii="宋体" w:cs="Times New Roman"/>
                <w:kern w:val="0"/>
                <w:sz w:val="18"/>
                <w:szCs w:val="18"/>
              </w:rPr>
              <w:t>182.17</w:t>
            </w:r>
          </w:p>
        </w:tc>
        <w:tc>
          <w:tcPr>
            <w:tcW w:w="907" w:type="dxa"/>
            <w:gridSpan w:val="2"/>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r>
              <w:rPr>
                <w:rFonts w:ascii="宋体" w:cs="Times New Roman"/>
                <w:kern w:val="0"/>
                <w:sz w:val="18"/>
                <w:szCs w:val="18"/>
              </w:rPr>
              <w:t>182.17</w:t>
            </w: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r>
    </w:tbl>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部门支出总表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1065"/>
        <w:gridCol w:w="2035"/>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部门（单位）名称：中共</w:t>
            </w:r>
            <w:r>
              <w:rPr>
                <w:rFonts w:hint="eastAsia" w:ascii="宋体" w:hAnsi="宋体" w:cs="宋体"/>
                <w:kern w:val="0"/>
              </w:rPr>
              <w:t>长春市二道区委统战部</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1065"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0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106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0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1065"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kern w:val="0"/>
                <w:sz w:val="18"/>
                <w:szCs w:val="18"/>
              </w:rPr>
            </w:pPr>
            <w:r>
              <w:rPr>
                <w:rFonts w:ascii="宋体" w:hAnsi="宋体" w:cs="宋体"/>
                <w:kern w:val="0"/>
                <w:sz w:val="18"/>
                <w:szCs w:val="18"/>
              </w:rPr>
              <w:t>201</w:t>
            </w:r>
          </w:p>
        </w:tc>
        <w:tc>
          <w:tcPr>
            <w:tcW w:w="2035"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一般公共服务支出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182.17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130.07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52.1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1065"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kern w:val="0"/>
                <w:sz w:val="18"/>
                <w:szCs w:val="18"/>
              </w:rPr>
            </w:pPr>
            <w:r>
              <w:rPr>
                <w:rFonts w:ascii="宋体" w:hAnsi="宋体" w:cs="宋体"/>
                <w:kern w:val="0"/>
                <w:sz w:val="18"/>
                <w:szCs w:val="18"/>
              </w:rPr>
              <w:t>20134</w:t>
            </w:r>
          </w:p>
        </w:tc>
        <w:tc>
          <w:tcPr>
            <w:tcW w:w="2035"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统战事务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182.17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130.07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52.1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1065"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kern w:val="0"/>
                <w:sz w:val="18"/>
                <w:szCs w:val="18"/>
              </w:rPr>
            </w:pPr>
            <w:r>
              <w:rPr>
                <w:rFonts w:ascii="宋体" w:hAnsi="宋体" w:cs="宋体"/>
                <w:kern w:val="0"/>
                <w:sz w:val="18"/>
                <w:szCs w:val="18"/>
              </w:rPr>
              <w:t>2013401</w:t>
            </w:r>
          </w:p>
        </w:tc>
        <w:tc>
          <w:tcPr>
            <w:tcW w:w="2035"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　　行政运行</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130.07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130.07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1065"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kern w:val="0"/>
                <w:sz w:val="18"/>
                <w:szCs w:val="18"/>
              </w:rPr>
            </w:pPr>
            <w:r>
              <w:rPr>
                <w:rFonts w:ascii="宋体" w:hAnsi="宋体" w:cs="宋体"/>
                <w:kern w:val="0"/>
                <w:sz w:val="18"/>
                <w:szCs w:val="18"/>
              </w:rPr>
              <w:t>2013402</w:t>
            </w:r>
          </w:p>
        </w:tc>
        <w:tc>
          <w:tcPr>
            <w:tcW w:w="2035" w:type="dxa"/>
            <w:tcBorders>
              <w:top w:val="nil"/>
              <w:left w:val="nil"/>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一般行政管理事务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52.1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52.1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2022</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2022</w:t>
      </w:r>
      <w:r>
        <w:rPr>
          <w:rFonts w:hint="eastAsia" w:ascii="宋体" w:hAnsi="宋体" w:cs="宋体"/>
          <w:color w:val="3E3E3E"/>
          <w:kern w:val="0"/>
          <w:sz w:val="32"/>
          <w:szCs w:val="32"/>
        </w:rPr>
        <w:t>年财政拨款</w:t>
      </w:r>
      <w:r>
        <w:rPr>
          <w:rFonts w:ascii="宋体" w:hAnsi="宋体" w:cs="宋体"/>
          <w:color w:val="3E3E3E"/>
          <w:kern w:val="0"/>
          <w:sz w:val="32"/>
          <w:szCs w:val="32"/>
        </w:rPr>
        <w:t>182.17</w:t>
      </w:r>
      <w:r>
        <w:rPr>
          <w:rFonts w:hint="eastAsia" w:ascii="宋体" w:hAnsi="宋体" w:cs="宋体"/>
          <w:color w:val="3E3E3E"/>
          <w:kern w:val="0"/>
          <w:sz w:val="32"/>
          <w:szCs w:val="32"/>
        </w:rPr>
        <w:t>万元</w:t>
      </w:r>
      <w:r>
        <w:rPr>
          <w:rFonts w:ascii="宋体" w:cs="宋体"/>
          <w:color w:val="3E3E3E"/>
          <w:kern w:val="0"/>
          <w:sz w:val="32"/>
          <w:szCs w:val="32"/>
        </w:rPr>
        <w:t xml:space="preserve"> ,</w:t>
      </w:r>
      <w:r>
        <w:rPr>
          <w:rFonts w:hint="eastAsia" w:ascii="宋体" w:hAnsi="宋体" w:cs="宋体"/>
          <w:color w:val="3E3E3E"/>
          <w:kern w:val="0"/>
          <w:sz w:val="32"/>
          <w:szCs w:val="32"/>
        </w:rPr>
        <w:t>收入合计</w:t>
      </w:r>
      <w:r>
        <w:rPr>
          <w:rFonts w:ascii="宋体" w:hAnsi="宋体" w:cs="宋体"/>
          <w:color w:val="3E3E3E"/>
          <w:kern w:val="0"/>
          <w:sz w:val="32"/>
          <w:szCs w:val="32"/>
        </w:rPr>
        <w:t>182.17</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年财政预算支出</w:t>
      </w:r>
      <w:r>
        <w:rPr>
          <w:rFonts w:ascii="宋体" w:hAnsi="宋体" w:cs="宋体"/>
          <w:color w:val="3E3E3E"/>
          <w:kern w:val="0"/>
          <w:sz w:val="32"/>
          <w:szCs w:val="32"/>
        </w:rPr>
        <w:t>182.17</w:t>
      </w:r>
      <w:r>
        <w:rPr>
          <w:rFonts w:hint="eastAsia" w:ascii="宋体" w:hAnsi="宋体" w:cs="宋体"/>
          <w:color w:val="3E3E3E"/>
          <w:kern w:val="0"/>
          <w:sz w:val="32"/>
          <w:szCs w:val="32"/>
        </w:rPr>
        <w:t>万元，其中，基本支出</w:t>
      </w:r>
      <w:r>
        <w:rPr>
          <w:rFonts w:ascii="宋体" w:hAnsi="宋体" w:cs="宋体"/>
          <w:color w:val="3E3E3E"/>
          <w:kern w:val="0"/>
          <w:sz w:val="32"/>
          <w:szCs w:val="32"/>
        </w:rPr>
        <w:t>130.07</w:t>
      </w:r>
      <w:r>
        <w:rPr>
          <w:rFonts w:hint="eastAsia" w:ascii="宋体" w:hAnsi="宋体" w:cs="宋体"/>
          <w:color w:val="3E3E3E"/>
          <w:kern w:val="0"/>
          <w:sz w:val="32"/>
          <w:szCs w:val="32"/>
        </w:rPr>
        <w:t>万元，项目支出</w:t>
      </w:r>
      <w:r>
        <w:rPr>
          <w:rFonts w:ascii="宋体" w:hAnsi="宋体" w:cs="宋体"/>
          <w:color w:val="3E3E3E"/>
          <w:kern w:val="0"/>
          <w:sz w:val="32"/>
          <w:szCs w:val="32"/>
        </w:rPr>
        <w:t>52.1</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基本支出</w:t>
      </w:r>
      <w:r>
        <w:rPr>
          <w:rFonts w:ascii="宋体" w:hAnsi="宋体" w:cs="宋体"/>
          <w:color w:val="3E3E3E"/>
          <w:kern w:val="0"/>
          <w:sz w:val="32"/>
          <w:szCs w:val="32"/>
        </w:rPr>
        <w:t>130.07</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项目支出</w:t>
      </w:r>
      <w:r>
        <w:rPr>
          <w:rFonts w:ascii="宋体" w:hAnsi="宋体" w:cs="宋体"/>
          <w:color w:val="3E3E3E"/>
          <w:kern w:val="0"/>
          <w:sz w:val="32"/>
          <w:szCs w:val="32"/>
        </w:rPr>
        <w:t>52.1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ascii="宋体" w:hAnsi="宋体" w:cs="宋体"/>
          <w:color w:val="3E3E3E"/>
          <w:kern w:val="0"/>
          <w:sz w:val="32"/>
          <w:szCs w:val="32"/>
        </w:rPr>
        <w:t>112.83</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ascii="宋体" w:hAnsi="宋体" w:cs="宋体"/>
          <w:color w:val="3E3E3E"/>
          <w:kern w:val="0"/>
          <w:sz w:val="32"/>
          <w:szCs w:val="32"/>
        </w:rPr>
        <w:t>15.5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ascii="宋体" w:hAnsi="宋体" w:cs="宋体"/>
          <w:color w:val="3E3E3E"/>
          <w:kern w:val="0"/>
          <w:sz w:val="32"/>
          <w:szCs w:val="32"/>
        </w:rPr>
        <w:t>1.74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ascii="宋体" w:hAnsi="宋体" w:cs="宋体"/>
          <w:color w:val="3E3E3E"/>
          <w:kern w:val="0"/>
          <w:sz w:val="32"/>
          <w:szCs w:val="32"/>
        </w:rPr>
        <w:t>130.07</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w:t>
      </w:r>
      <w:r>
        <w:rPr>
          <w:rFonts w:ascii="宋体" w:cs="宋体"/>
          <w:color w:val="3E3E3E"/>
          <w:kern w:val="0"/>
          <w:sz w:val="32"/>
          <w:szCs w:val="32"/>
        </w:rPr>
        <w:t>0</w:t>
      </w:r>
      <w:r>
        <w:rPr>
          <w:rFonts w:hint="eastAsia" w:ascii="宋体" w:hAnsi="宋体" w:cs="宋体"/>
          <w:color w:val="3E3E3E"/>
          <w:kern w:val="0"/>
          <w:sz w:val="32"/>
          <w:szCs w:val="32"/>
        </w:rPr>
        <w:t>万元，实际支出</w:t>
      </w:r>
      <w:r>
        <w:rPr>
          <w:rFonts w:ascii="宋体" w:cs="宋体"/>
          <w:color w:val="3E3E3E"/>
          <w:kern w:val="0"/>
          <w:sz w:val="32"/>
          <w:szCs w:val="32"/>
        </w:rPr>
        <w:t>0</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w:t>
      </w:r>
    </w:p>
    <w:p>
      <w:pPr>
        <w:autoSpaceDE w:val="0"/>
        <w:autoSpaceDN w:val="0"/>
        <w:adjustRightInd w:val="0"/>
        <w:rPr>
          <w:rFonts w:ascii="宋体" w:cs="Times New Roman"/>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Cs/>
          <w:color w:val="3E3E3E"/>
          <w:kern w:val="0"/>
          <w:sz w:val="32"/>
          <w:szCs w:val="32"/>
        </w:rPr>
        <w:t>五、政府性基金预算说明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无此项预算支出。</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182.17</w:t>
      </w:r>
      <w:r>
        <w:rPr>
          <w:rFonts w:hint="eastAsia" w:ascii="宋体" w:hAnsi="宋体" w:cs="宋体"/>
          <w:color w:val="3E3E3E"/>
          <w:kern w:val="0"/>
          <w:sz w:val="32"/>
          <w:szCs w:val="32"/>
        </w:rPr>
        <w:t>万元，其中财政拨款</w:t>
      </w:r>
      <w:r>
        <w:rPr>
          <w:rFonts w:ascii="宋体" w:hAnsi="宋体" w:cs="宋体"/>
          <w:color w:val="3E3E3E"/>
          <w:kern w:val="0"/>
          <w:sz w:val="32"/>
          <w:szCs w:val="32"/>
        </w:rPr>
        <w:t>182.17</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ascii="宋体" w:hAnsi="宋体" w:cs="宋体"/>
          <w:color w:val="3E3E3E"/>
          <w:kern w:val="0"/>
          <w:sz w:val="32"/>
          <w:szCs w:val="32"/>
        </w:rPr>
        <w:t>182.17</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182.17</w:t>
      </w:r>
      <w:r>
        <w:rPr>
          <w:rFonts w:hint="eastAsia" w:ascii="宋体" w:hAnsi="宋体" w:cs="宋体"/>
          <w:color w:val="3E3E3E"/>
          <w:kern w:val="0"/>
          <w:sz w:val="32"/>
          <w:szCs w:val="32"/>
        </w:rPr>
        <w:t>万元，其中财政拨款</w:t>
      </w:r>
      <w:r>
        <w:rPr>
          <w:rFonts w:ascii="宋体" w:hAnsi="宋体" w:cs="宋体"/>
          <w:color w:val="3E3E3E"/>
          <w:kern w:val="0"/>
          <w:sz w:val="32"/>
          <w:szCs w:val="32"/>
        </w:rPr>
        <w:t>182.17</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按功能分类：一般公共服务支出</w:t>
      </w:r>
      <w:r>
        <w:rPr>
          <w:rFonts w:ascii="宋体" w:hAnsi="宋体" w:cs="宋体"/>
          <w:color w:val="3E3E3E"/>
          <w:kern w:val="0"/>
          <w:sz w:val="32"/>
          <w:szCs w:val="32"/>
        </w:rPr>
        <w:t>182.17</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ascii="宋体" w:hAnsi="宋体" w:cs="宋体"/>
          <w:color w:val="3E3E3E"/>
          <w:kern w:val="0"/>
          <w:sz w:val="32"/>
          <w:szCs w:val="32"/>
        </w:rPr>
        <w:t>130.07</w:t>
      </w:r>
      <w:r>
        <w:rPr>
          <w:rFonts w:hint="eastAsia" w:ascii="宋体" w:hAnsi="宋体" w:cs="宋体"/>
          <w:color w:val="3E3E3E"/>
          <w:kern w:val="0"/>
          <w:sz w:val="32"/>
          <w:szCs w:val="32"/>
        </w:rPr>
        <w:t>万元，项目支出</w:t>
      </w:r>
      <w:r>
        <w:rPr>
          <w:rFonts w:ascii="宋体" w:hAnsi="宋体" w:cs="宋体"/>
          <w:color w:val="3E3E3E"/>
          <w:kern w:val="0"/>
          <w:sz w:val="32"/>
          <w:szCs w:val="32"/>
        </w:rPr>
        <w:t>52.1</w:t>
      </w:r>
      <w:r>
        <w:rPr>
          <w:rFonts w:hint="eastAsia" w:ascii="宋体" w:hAnsi="宋体" w:cs="宋体"/>
          <w:color w:val="3E3E3E"/>
          <w:kern w:val="0"/>
          <w:sz w:val="32"/>
          <w:szCs w:val="32"/>
        </w:rPr>
        <w:t>万元。</w:t>
      </w:r>
    </w:p>
    <w:p>
      <w:pPr>
        <w:spacing w:line="500" w:lineRule="exact"/>
        <w:ind w:firstLine="640" w:firstLineChars="200"/>
        <w:rPr>
          <w:rFonts w:ascii="宋体" w:cs="Times New Roman"/>
          <w:sz w:val="32"/>
          <w:szCs w:val="32"/>
        </w:rPr>
      </w:pPr>
      <w:r>
        <w:rPr>
          <w:rFonts w:hint="eastAsia" w:ascii="宋体" w:hAnsi="宋体" w:cs="宋体"/>
          <w:sz w:val="32"/>
          <w:szCs w:val="32"/>
        </w:rPr>
        <w:t>九、机关运行经费支出情况</w:t>
      </w:r>
    </w:p>
    <w:p>
      <w:pPr>
        <w:spacing w:line="5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年二道区委统战部的机关运行经费财政拨款支出</w:t>
      </w:r>
      <w:r>
        <w:rPr>
          <w:rFonts w:ascii="宋体" w:hAnsi="宋体" w:cs="宋体"/>
          <w:sz w:val="32"/>
          <w:szCs w:val="32"/>
        </w:rPr>
        <w:t>5.08</w:t>
      </w:r>
      <w:r>
        <w:rPr>
          <w:rFonts w:hint="eastAsia" w:ascii="宋体" w:hAnsi="宋体" w:cs="宋体"/>
          <w:sz w:val="32"/>
          <w:szCs w:val="32"/>
        </w:rPr>
        <w:t>万元，其中办公费</w:t>
      </w:r>
      <w:r>
        <w:rPr>
          <w:rFonts w:ascii="宋体" w:hAnsi="宋体" w:cs="宋体"/>
          <w:sz w:val="32"/>
          <w:szCs w:val="32"/>
        </w:rPr>
        <w:t>2.35</w:t>
      </w:r>
      <w:r>
        <w:rPr>
          <w:rFonts w:hint="eastAsia" w:ascii="宋体" w:hAnsi="宋体" w:cs="宋体"/>
          <w:sz w:val="32"/>
          <w:szCs w:val="32"/>
        </w:rPr>
        <w:t>万元，差旅费</w:t>
      </w:r>
      <w:r>
        <w:rPr>
          <w:rFonts w:ascii="宋体" w:hAnsi="宋体" w:cs="宋体"/>
          <w:sz w:val="32"/>
          <w:szCs w:val="32"/>
        </w:rPr>
        <w:t>1</w:t>
      </w:r>
      <w:r>
        <w:rPr>
          <w:rFonts w:hint="eastAsia" w:ascii="宋体" w:hAnsi="宋体" w:cs="宋体"/>
          <w:sz w:val="32"/>
          <w:szCs w:val="32"/>
        </w:rPr>
        <w:t>万元，办公设备购置</w:t>
      </w:r>
      <w:r>
        <w:rPr>
          <w:rFonts w:ascii="宋体" w:hAnsi="宋体" w:cs="宋体"/>
          <w:sz w:val="32"/>
          <w:szCs w:val="32"/>
        </w:rPr>
        <w:t>1</w:t>
      </w:r>
      <w:r>
        <w:rPr>
          <w:rFonts w:hint="eastAsia" w:ascii="宋体" w:hAnsi="宋体" w:cs="宋体"/>
          <w:sz w:val="32"/>
          <w:szCs w:val="32"/>
        </w:rPr>
        <w:t>万元。</w:t>
      </w:r>
    </w:p>
    <w:p>
      <w:pPr>
        <w:spacing w:line="500" w:lineRule="exact"/>
        <w:rPr>
          <w:rFonts w:ascii="宋体" w:cs="Times New Roman"/>
          <w:sz w:val="32"/>
          <w:szCs w:val="32"/>
        </w:rPr>
      </w:pPr>
      <w:r>
        <w:rPr>
          <w:rFonts w:hint="eastAsia" w:ascii="宋体" w:hAnsi="宋体" w:cs="宋体"/>
          <w:sz w:val="32"/>
          <w:szCs w:val="32"/>
        </w:rPr>
        <w:t>十、政府采购支出情况</w:t>
      </w:r>
    </w:p>
    <w:p>
      <w:pPr>
        <w:spacing w:line="5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年二道区委统战部政府采购项目预算</w:t>
      </w:r>
      <w:r>
        <w:rPr>
          <w:rFonts w:ascii="宋体" w:hAnsi="宋体" w:cs="宋体"/>
          <w:sz w:val="32"/>
          <w:szCs w:val="32"/>
        </w:rPr>
        <w:t>1</w:t>
      </w:r>
      <w:r>
        <w:rPr>
          <w:rFonts w:hint="eastAsia" w:ascii="宋体" w:hAnsi="宋体" w:cs="宋体"/>
          <w:sz w:val="32"/>
          <w:szCs w:val="32"/>
        </w:rPr>
        <w:t>万元，主要是购置办公设备，全部实行政府采购。</w:t>
      </w:r>
    </w:p>
    <w:p>
      <w:pPr>
        <w:spacing w:line="500" w:lineRule="exact"/>
        <w:rPr>
          <w:rFonts w:ascii="宋体" w:cs="Times New Roman"/>
          <w:sz w:val="32"/>
          <w:szCs w:val="32"/>
        </w:rPr>
      </w:pPr>
      <w:r>
        <w:rPr>
          <w:rFonts w:hint="eastAsia" w:ascii="宋体" w:hAnsi="宋体" w:cs="宋体"/>
          <w:sz w:val="32"/>
          <w:szCs w:val="32"/>
        </w:rPr>
        <w:t>十一、国有资产占用情况</w:t>
      </w:r>
    </w:p>
    <w:p>
      <w:pPr>
        <w:spacing w:line="500" w:lineRule="exact"/>
        <w:ind w:firstLine="640" w:firstLineChars="200"/>
        <w:rPr>
          <w:rFonts w:ascii="宋体" w:cs="Times New Roman"/>
          <w:sz w:val="32"/>
          <w:szCs w:val="32"/>
        </w:rPr>
      </w:pPr>
      <w:r>
        <w:rPr>
          <w:rFonts w:hint="eastAsia" w:ascii="宋体" w:hAnsi="宋体" w:cs="宋体"/>
          <w:sz w:val="32"/>
          <w:szCs w:val="32"/>
        </w:rPr>
        <w:t>本单位无公务用车。</w:t>
      </w:r>
    </w:p>
    <w:p>
      <w:pPr>
        <w:autoSpaceDE w:val="0"/>
        <w:autoSpaceDN w:val="0"/>
        <w:adjustRightInd w:val="0"/>
        <w:rPr>
          <w:rFonts w:ascii="宋体" w:cs="宋体"/>
          <w:sz w:val="32"/>
          <w:szCs w:val="32"/>
        </w:rPr>
      </w:pP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6F38"/>
    <w:rsid w:val="0001704A"/>
    <w:rsid w:val="00075C6E"/>
    <w:rsid w:val="000A1373"/>
    <w:rsid w:val="000F087E"/>
    <w:rsid w:val="000F4CD0"/>
    <w:rsid w:val="00102AEA"/>
    <w:rsid w:val="00112E35"/>
    <w:rsid w:val="001A03DE"/>
    <w:rsid w:val="001A067E"/>
    <w:rsid w:val="001C3DB7"/>
    <w:rsid w:val="001D764C"/>
    <w:rsid w:val="001E1757"/>
    <w:rsid w:val="001F4768"/>
    <w:rsid w:val="00202F67"/>
    <w:rsid w:val="00222B02"/>
    <w:rsid w:val="002757E8"/>
    <w:rsid w:val="002A7FBA"/>
    <w:rsid w:val="00300EEC"/>
    <w:rsid w:val="0035248F"/>
    <w:rsid w:val="003A7ECF"/>
    <w:rsid w:val="00415BBF"/>
    <w:rsid w:val="00437D6A"/>
    <w:rsid w:val="004415A0"/>
    <w:rsid w:val="004A4CEE"/>
    <w:rsid w:val="004A4DAA"/>
    <w:rsid w:val="0050084A"/>
    <w:rsid w:val="00520680"/>
    <w:rsid w:val="005211A3"/>
    <w:rsid w:val="005212CB"/>
    <w:rsid w:val="005238B0"/>
    <w:rsid w:val="0057123B"/>
    <w:rsid w:val="005759CD"/>
    <w:rsid w:val="005C178A"/>
    <w:rsid w:val="005C2EE7"/>
    <w:rsid w:val="00614FF8"/>
    <w:rsid w:val="00626C72"/>
    <w:rsid w:val="006622DF"/>
    <w:rsid w:val="0066668B"/>
    <w:rsid w:val="006B4910"/>
    <w:rsid w:val="006B7561"/>
    <w:rsid w:val="006E2BEF"/>
    <w:rsid w:val="00720D92"/>
    <w:rsid w:val="00732B62"/>
    <w:rsid w:val="00762C61"/>
    <w:rsid w:val="00803D0C"/>
    <w:rsid w:val="008718E6"/>
    <w:rsid w:val="008726A4"/>
    <w:rsid w:val="00875658"/>
    <w:rsid w:val="008903CA"/>
    <w:rsid w:val="008960D1"/>
    <w:rsid w:val="0089661A"/>
    <w:rsid w:val="00932835"/>
    <w:rsid w:val="0095105C"/>
    <w:rsid w:val="009620D0"/>
    <w:rsid w:val="00997711"/>
    <w:rsid w:val="009E7DB9"/>
    <w:rsid w:val="009F53FD"/>
    <w:rsid w:val="00A04D3F"/>
    <w:rsid w:val="00A2531E"/>
    <w:rsid w:val="00A44D8F"/>
    <w:rsid w:val="00AA71A4"/>
    <w:rsid w:val="00AB0186"/>
    <w:rsid w:val="00AB23A3"/>
    <w:rsid w:val="00AC598A"/>
    <w:rsid w:val="00AC6007"/>
    <w:rsid w:val="00AD2E46"/>
    <w:rsid w:val="00AE1000"/>
    <w:rsid w:val="00B37860"/>
    <w:rsid w:val="00B37D55"/>
    <w:rsid w:val="00B623E3"/>
    <w:rsid w:val="00B71F68"/>
    <w:rsid w:val="00B80A2E"/>
    <w:rsid w:val="00B85A14"/>
    <w:rsid w:val="00C30AE4"/>
    <w:rsid w:val="00CC102E"/>
    <w:rsid w:val="00CC5F4E"/>
    <w:rsid w:val="00CC6D48"/>
    <w:rsid w:val="00D007DA"/>
    <w:rsid w:val="00D4224E"/>
    <w:rsid w:val="00D5067E"/>
    <w:rsid w:val="00D56901"/>
    <w:rsid w:val="00D60009"/>
    <w:rsid w:val="00D71422"/>
    <w:rsid w:val="00DC4B07"/>
    <w:rsid w:val="00DF2DDB"/>
    <w:rsid w:val="00E22EA8"/>
    <w:rsid w:val="00E63DCC"/>
    <w:rsid w:val="00E8380A"/>
    <w:rsid w:val="00EB0DF0"/>
    <w:rsid w:val="00EC3607"/>
    <w:rsid w:val="00ED2B29"/>
    <w:rsid w:val="00F331A5"/>
    <w:rsid w:val="00F46C87"/>
    <w:rsid w:val="00F94E66"/>
    <w:rsid w:val="1C014F7E"/>
    <w:rsid w:val="22057A5E"/>
    <w:rsid w:val="254C2FF9"/>
    <w:rsid w:val="33A16F2C"/>
    <w:rsid w:val="51444915"/>
    <w:rsid w:val="53C42C27"/>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5716</Words>
  <Characters>6354</Characters>
  <Lines>0</Lines>
  <Paragraphs>0</Paragraphs>
  <TotalTime>63</TotalTime>
  <ScaleCrop>false</ScaleCrop>
  <LinksUpToDate>false</LinksUpToDate>
  <CharactersWithSpaces>6523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cp:lastPrinted>2022-08-08T01:16:00Z</cp:lastPrinted>
  <dcterms:modified xsi:type="dcterms:W3CDTF">2022-01-04T02:44:30Z</dcterms:modified>
  <dc:title>2017年长春市工业和信息化局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