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年中共长春市二道区委政法委员会</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580" w:lineRule="exact"/>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年度中共长春市二道区委政法委员会</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line="600" w:lineRule="exact"/>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line="600" w:lineRule="exact"/>
        <w:jc w:val="left"/>
        <w:rPr>
          <w:rFonts w:ascii="宋体" w:cs="宋体"/>
          <w:color w:val="3E3E3E"/>
          <w:kern w:val="0"/>
          <w:sz w:val="32"/>
          <w:szCs w:val="32"/>
        </w:rPr>
      </w:pPr>
      <w:r>
        <w:rPr>
          <w:rFonts w:hint="eastAsia" w:ascii="宋体" w:hAnsi="宋体" w:cs="宋体"/>
          <w:color w:val="3E3E3E"/>
          <w:kern w:val="0"/>
          <w:sz w:val="32"/>
          <w:szCs w:val="32"/>
        </w:rPr>
        <w:t>　　此部分内容涉密，不予公开</w:t>
      </w:r>
    </w:p>
    <w:p>
      <w:pPr>
        <w:widowControl/>
        <w:spacing w:line="600" w:lineRule="exact"/>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p>
      <w:pPr>
        <w:widowControl/>
        <w:spacing w:line="600" w:lineRule="exact"/>
        <w:jc w:val="left"/>
        <w:rPr>
          <w:rFonts w:ascii="宋体" w:cs="宋体"/>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中共长春市二道区委政法委员会内设</w:t>
      </w:r>
      <w:r>
        <w:rPr>
          <w:rFonts w:ascii="宋体" w:hAnsi="宋体" w:cs="宋体"/>
          <w:color w:val="3E3E3E"/>
          <w:kern w:val="0"/>
          <w:sz w:val="32"/>
          <w:szCs w:val="32"/>
        </w:rPr>
        <w:t>3</w:t>
      </w:r>
      <w:r>
        <w:rPr>
          <w:rFonts w:hint="eastAsia" w:ascii="宋体" w:hAnsi="宋体" w:cs="宋体"/>
          <w:color w:val="3E3E3E"/>
          <w:kern w:val="0"/>
          <w:sz w:val="32"/>
          <w:szCs w:val="32"/>
        </w:rPr>
        <w:t>个机构，分别为办公室（政工科）、综治检查指导科（反邪教协调科）、执法监督科（维稳指导科），此外，有负责本部门、本系统干部队伍建设的政治部，负责本部门、本系统党群工作的机关党委。</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line="580" w:lineRule="exact"/>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line="580" w:lineRule="exact"/>
        <w:jc w:val="left"/>
        <w:rPr>
          <w:rFonts w:ascii="宋体" w:cs="Times New Roman"/>
          <w:color w:val="3E3E3E"/>
          <w:kern w:val="0"/>
          <w:sz w:val="32"/>
          <w:szCs w:val="32"/>
        </w:rPr>
      </w:pPr>
      <w:r>
        <w:rPr>
          <w:rFonts w:hint="eastAsia" w:ascii="宋体" w:hAnsi="宋体" w:cs="宋体"/>
          <w:color w:val="3E3E3E"/>
          <w:kern w:val="0"/>
          <w:sz w:val="32"/>
          <w:szCs w:val="32"/>
        </w:rPr>
        <w:t>　　中共长春市二道区委政法委员会本级和所属事业单位，共计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line="580" w:lineRule="exact"/>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黑体" w:hAnsi="黑体" w:eastAsia="黑体" w:cs="黑体"/>
          <w:sz w:val="32"/>
          <w:szCs w:val="32"/>
        </w:rPr>
      </w:pPr>
      <w:r>
        <w:rPr>
          <w:rFonts w:hint="eastAsia" w:ascii="宋体" w:hAnsi="宋体" w:cs="宋体"/>
          <w:color w:val="3E3E3E"/>
          <w:kern w:val="0"/>
          <w:sz w:val="32"/>
          <w:szCs w:val="32"/>
        </w:rPr>
        <w:t>　　中共长春市二道区委政法委员会本级和所属事业单位现有人员</w:t>
      </w:r>
      <w:r>
        <w:rPr>
          <w:rFonts w:ascii="宋体" w:hAnsi="宋体" w:cs="宋体"/>
          <w:color w:val="3E3E3E"/>
          <w:kern w:val="0"/>
          <w:sz w:val="32"/>
          <w:szCs w:val="32"/>
        </w:rPr>
        <w:t>25</w:t>
      </w:r>
      <w:r>
        <w:rPr>
          <w:rFonts w:hint="eastAsia" w:ascii="宋体" w:hAnsi="宋体" w:cs="宋体"/>
          <w:color w:val="3E3E3E"/>
          <w:kern w:val="0"/>
          <w:sz w:val="32"/>
          <w:szCs w:val="32"/>
        </w:rPr>
        <w:t>人，其中，在职人员</w:t>
      </w:r>
      <w:r>
        <w:rPr>
          <w:rFonts w:ascii="宋体" w:hAnsi="宋体" w:cs="宋体"/>
          <w:color w:val="3E3E3E"/>
          <w:kern w:val="0"/>
          <w:sz w:val="32"/>
          <w:szCs w:val="32"/>
        </w:rPr>
        <w:t>15</w:t>
      </w:r>
      <w:r>
        <w:rPr>
          <w:rFonts w:hint="eastAsia" w:ascii="宋体" w:hAnsi="宋体" w:cs="宋体"/>
          <w:color w:val="3E3E3E"/>
          <w:kern w:val="0"/>
          <w:sz w:val="32"/>
          <w:szCs w:val="32"/>
        </w:rPr>
        <w:t>人员，离退休人员</w:t>
      </w:r>
      <w:r>
        <w:rPr>
          <w:rFonts w:ascii="宋体" w:hAnsi="宋体" w:cs="宋体"/>
          <w:color w:val="3E3E3E"/>
          <w:kern w:val="0"/>
          <w:sz w:val="32"/>
          <w:szCs w:val="32"/>
        </w:rPr>
        <w:t>10</w:t>
      </w:r>
      <w:r>
        <w:rPr>
          <w:rFonts w:hint="eastAsia" w:ascii="宋体" w:hAnsi="宋体" w:cs="宋体"/>
          <w:color w:val="3E3E3E"/>
          <w:kern w:val="0"/>
          <w:sz w:val="32"/>
          <w:szCs w:val="32"/>
        </w:rPr>
        <w:t>人。</w:t>
      </w:r>
    </w:p>
    <w:p>
      <w:pPr>
        <w:widowControl/>
        <w:numPr>
          <w:ilvl w:val="0"/>
          <w:numId w:val="1"/>
        </w:numPr>
        <w:spacing w:before="100" w:beforeAutospacing="1" w:after="100" w:afterAutospacing="1" w:line="360" w:lineRule="auto"/>
        <w:jc w:val="left"/>
        <w:rPr>
          <w:rFonts w:ascii="黑体" w:hAnsi="黑体" w:eastAsia="黑体" w:cs="黑体"/>
          <w:sz w:val="32"/>
          <w:szCs w:val="32"/>
        </w:rPr>
      </w:pPr>
      <w:r>
        <w:rPr>
          <w:rFonts w:ascii="黑体" w:hAnsi="黑体" w:eastAsia="黑体" w:cs="黑体"/>
          <w:sz w:val="32"/>
          <w:szCs w:val="32"/>
        </w:rPr>
        <w:t>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年财政拨款收预算表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5" o:spt="75" alt="1" type="#_x0000_t75" style="height:262.5pt;width:406.5pt;" filled="f" o:preferrelative="t" stroked="f" coordsize="21600,21600">
            <v:path/>
            <v:fill on="f" focussize="0,0"/>
            <v:stroke on="f" joinstyle="miter"/>
            <v:imagedata r:id="rId4" o:title=""/>
            <o:lock v:ext="edit" aspectratio="t"/>
            <w10:wrap type="none"/>
            <w10:anchorlock/>
          </v:shape>
        </w:pict>
      </w: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宋体"/>
          <w:color w:val="3E3E3E"/>
          <w:kern w:val="0"/>
          <w:sz w:val="32"/>
          <w:szCs w:val="32"/>
        </w:rPr>
      </w:pPr>
      <w:r>
        <w:rPr>
          <w:rFonts w:ascii="宋体" w:cs="宋体"/>
          <w:color w:val="3E3E3E"/>
          <w:kern w:val="0"/>
          <w:sz w:val="32"/>
          <w:szCs w:val="32"/>
        </w:rPr>
        <w:pict>
          <v:shape id="_x0000_i1026" o:spt="75" alt="2" type="#_x0000_t75" style="height:278.25pt;width:413.25pt;" filled="f" o:preferrelative="t" stroked="f" coordsize="21600,21600">
            <v:path/>
            <v:fill on="f" focussize="0,0"/>
            <v:stroke on="f" joinstyle="miter"/>
            <v:imagedata r:id="rId5" o:title=""/>
            <o:lock v:ext="edit" aspectratio="t"/>
            <w10:wrap type="none"/>
            <w10:anchorlock/>
          </v:shape>
        </w:pict>
      </w: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pict>
          <v:shape id="_x0000_i1027" o:spt="75" alt="3" type="#_x0000_t75" style="height:268.5pt;width:412.5pt;" filled="f" o:preferrelative="t" stroked="f" coordsize="21600,21600">
            <v:path/>
            <v:fill on="f" focussize="0,0"/>
            <v:stroke on="f" joinstyle="miter"/>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pict>
          <v:shape id="_x0000_i1028" o:spt="75" alt="4" type="#_x0000_t75" style="height:273pt;width:414pt;" filled="f" o:preferrelative="t" stroked="f" coordsize="21600,21600">
            <v:path/>
            <v:fill on="f" focussize="0,0"/>
            <v:stroke on="f" joinstyle="miter"/>
            <v:imagedata r:id="rId7"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pict>
          <v:shape id="_x0000_i1029" o:spt="75" alt="5" type="#_x0000_t75" style="height:216.75pt;width:412.5pt;" filled="f" o:preferrelative="t" stroked="f" coordsize="21600,21600">
            <v:path/>
            <v:fill on="f" focussize="0,0"/>
            <v:stroke on="f" joinstyle="miter"/>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pict>
          <v:shape id="_x0000_i1030" o:spt="75" alt="6" type="#_x0000_t75" style="height:325.5pt;width:412.5pt;" filled="f" o:preferrelative="t" stroked="f" coordsize="21600,21600">
            <v:path/>
            <v:fill on="f" focussize="0,0"/>
            <v:stroke on="f" joinstyle="miter"/>
            <v:imagedata r:id="rId9" o:title=""/>
            <o:lock v:ext="edit" aspectratio="t"/>
            <w10:wrap type="none"/>
            <w10:anchorlock/>
          </v:shape>
        </w:pict>
      </w:r>
    </w:p>
    <w:p>
      <w:pPr>
        <w:widowControl/>
        <w:spacing w:before="100" w:beforeAutospacing="1" w:after="100" w:afterAutospacing="1" w:line="360" w:lineRule="auto"/>
        <w:jc w:val="left"/>
        <w:rPr>
          <w:rFonts w:ascii="宋体" w:cs="宋体"/>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w:t>
      </w:r>
      <w:r>
        <w:rPr>
          <w:rFonts w:hint="eastAsia" w:ascii="宋体" w:hAnsi="宋体" w:cs="宋体"/>
          <w:color w:val="3E3E3E"/>
          <w:kern w:val="0"/>
          <w:sz w:val="32"/>
          <w:szCs w:val="32"/>
        </w:rPr>
        <w:fldChar w:fldCharType="end"/>
      </w:r>
      <w:r>
        <w:rPr>
          <w:rFonts w:hint="eastAsia" w:ascii="宋体" w:hAnsi="宋体" w:cs="宋体"/>
          <w:color w:val="3E3E3E"/>
          <w:kern w:val="0"/>
          <w:sz w:val="32"/>
          <w:szCs w:val="32"/>
        </w:rPr>
        <w:t>　</w:t>
      </w:r>
      <w:r>
        <w:rPr>
          <w:rFonts w:ascii="宋体" w:cs="宋体"/>
          <w:color w:val="3E3E3E"/>
          <w:kern w:val="0"/>
          <w:sz w:val="32"/>
          <w:szCs w:val="32"/>
        </w:rPr>
        <w:pict>
          <v:shape id="_x0000_i1031" o:spt="75" alt="7" type="#_x0000_t75" style="height:251.25pt;width:407.25pt;" filled="f" o:preferrelative="t" stroked="f" coordsize="21600,21600">
            <v:path/>
            <v:fill on="f" focussize="0,0"/>
            <v:stroke on="f" joinstyle="miter"/>
            <v:imagedata r:id="rId10"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黑体" w:hAnsi="黑体" w:eastAsia="黑体" w:cs="黑体"/>
          <w:sz w:val="32"/>
          <w:szCs w:val="32"/>
        </w:rPr>
      </w:pPr>
      <w:r>
        <w:rPr>
          <w:rFonts w:ascii="黑体" w:hAnsi="黑体" w:eastAsia="黑体" w:cs="黑体"/>
          <w:sz w:val="32"/>
          <w:szCs w:val="32"/>
        </w:rPr>
        <w:pict>
          <v:shape id="_x0000_i1032" o:spt="75" alt="8" type="#_x0000_t75" style="height:304.5pt;width:410.25pt;" filled="f" o:preferrelative="t" stroked="f" coordsize="21600,21600">
            <v:path/>
            <v:fill on="f" focussize="0,0"/>
            <v:stroke on="f" joinstyle="miter"/>
            <v:imagedata r:id="rId11" o:title=""/>
            <o:lock v:ext="edit" aspectratio="t"/>
            <w10:wrap type="none"/>
            <w10:anchorlock/>
          </v:shape>
        </w:pict>
      </w:r>
    </w:p>
    <w:p>
      <w:pPr>
        <w:widowControl/>
        <w:spacing w:line="600" w:lineRule="exact"/>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line="600" w:lineRule="exact"/>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line="600" w:lineRule="exact"/>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1285.47</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1285.47</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line="600" w:lineRule="exact"/>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1285.47</w:t>
      </w:r>
      <w:r>
        <w:rPr>
          <w:rFonts w:hint="eastAsia" w:ascii="宋体" w:hAnsi="宋体" w:cs="宋体"/>
          <w:color w:val="3E3E3E"/>
          <w:kern w:val="0"/>
          <w:sz w:val="32"/>
          <w:szCs w:val="32"/>
        </w:rPr>
        <w:t>万元，其中，基本支出</w:t>
      </w:r>
      <w:r>
        <w:rPr>
          <w:rFonts w:ascii="宋体" w:hAnsi="宋体" w:cs="宋体"/>
          <w:color w:val="3E3E3E"/>
          <w:kern w:val="0"/>
          <w:sz w:val="32"/>
          <w:szCs w:val="32"/>
        </w:rPr>
        <w:t>343.92</w:t>
      </w:r>
      <w:r>
        <w:rPr>
          <w:rFonts w:hint="eastAsia" w:ascii="宋体" w:hAnsi="宋体" w:cs="宋体"/>
          <w:color w:val="3E3E3E"/>
          <w:kern w:val="0"/>
          <w:sz w:val="32"/>
          <w:szCs w:val="32"/>
        </w:rPr>
        <w:t>万元，项目支出</w:t>
      </w:r>
      <w:r>
        <w:rPr>
          <w:rFonts w:ascii="宋体" w:hAnsi="宋体" w:cs="宋体"/>
          <w:color w:val="3E3E3E"/>
          <w:kern w:val="0"/>
          <w:sz w:val="32"/>
          <w:szCs w:val="32"/>
        </w:rPr>
        <w:t>941.55</w:t>
      </w:r>
      <w:r>
        <w:rPr>
          <w:rFonts w:hint="eastAsia" w:ascii="宋体" w:hAnsi="宋体" w:cs="宋体"/>
          <w:color w:val="3E3E3E"/>
          <w:kern w:val="0"/>
          <w:sz w:val="32"/>
          <w:szCs w:val="32"/>
        </w:rPr>
        <w:t>万元。</w:t>
      </w:r>
    </w:p>
    <w:p>
      <w:pPr>
        <w:widowControl/>
        <w:spacing w:line="600" w:lineRule="exact"/>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line="600" w:lineRule="exact"/>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行政运行</w:t>
      </w:r>
      <w:r>
        <w:rPr>
          <w:rFonts w:ascii="宋体" w:hAnsi="宋体" w:cs="宋体"/>
          <w:color w:val="3E3E3E"/>
          <w:kern w:val="0"/>
          <w:sz w:val="32"/>
          <w:szCs w:val="32"/>
        </w:rPr>
        <w:t>343.92</w:t>
      </w:r>
      <w:r>
        <w:rPr>
          <w:rFonts w:hint="eastAsia" w:ascii="宋体" w:hAnsi="宋体" w:cs="宋体"/>
          <w:color w:val="3E3E3E"/>
          <w:kern w:val="0"/>
          <w:sz w:val="32"/>
          <w:szCs w:val="32"/>
        </w:rPr>
        <w:t>万元</w:t>
      </w:r>
      <w:r>
        <w:rPr>
          <w:rFonts w:hint="eastAsia" w:ascii="宋体" w:cs="宋体"/>
          <w:color w:val="3E3E3E"/>
          <w:kern w:val="0"/>
          <w:sz w:val="32"/>
          <w:szCs w:val="32"/>
        </w:rPr>
        <w:t>，一般行政管理事</w:t>
      </w:r>
      <w:r>
        <w:rPr>
          <w:rFonts w:ascii="宋体" w:hAnsi="宋体" w:cs="宋体"/>
          <w:color w:val="3E3E3E"/>
          <w:kern w:val="0"/>
          <w:sz w:val="32"/>
          <w:szCs w:val="32"/>
        </w:rPr>
        <w:t>941.55</w:t>
      </w:r>
      <w:r>
        <w:rPr>
          <w:rFonts w:hint="eastAsia" w:ascii="宋体" w:hAnsi="宋体" w:cs="宋体"/>
          <w:color w:val="3E3E3E"/>
          <w:kern w:val="0"/>
          <w:sz w:val="32"/>
          <w:szCs w:val="32"/>
        </w:rPr>
        <w:t>万元</w:t>
      </w:r>
      <w:r>
        <w:rPr>
          <w:rFonts w:hint="eastAsia" w:ascii="宋体" w:cs="宋体"/>
          <w:color w:val="3E3E3E"/>
          <w:kern w:val="0"/>
          <w:sz w:val="32"/>
          <w:szCs w:val="32"/>
        </w:rPr>
        <w:t>，</w:t>
      </w:r>
      <w:r>
        <w:rPr>
          <w:rFonts w:hint="eastAsia" w:ascii="宋体" w:hAnsi="宋体" w:cs="宋体"/>
          <w:color w:val="3E3E3E"/>
          <w:kern w:val="0"/>
          <w:sz w:val="32"/>
          <w:szCs w:val="32"/>
        </w:rPr>
        <w:t>总计</w:t>
      </w:r>
      <w:r>
        <w:rPr>
          <w:rFonts w:ascii="宋体" w:hAnsi="宋体" w:cs="宋体"/>
          <w:color w:val="3E3E3E"/>
          <w:kern w:val="0"/>
          <w:sz w:val="32"/>
          <w:szCs w:val="32"/>
        </w:rPr>
        <w:t>1285.47</w:t>
      </w:r>
      <w:r>
        <w:rPr>
          <w:rFonts w:hint="eastAsia" w:ascii="宋体" w:hAnsi="宋体" w:cs="宋体"/>
          <w:color w:val="3E3E3E"/>
          <w:kern w:val="0"/>
          <w:sz w:val="32"/>
          <w:szCs w:val="32"/>
        </w:rPr>
        <w:t>万元。</w:t>
      </w:r>
    </w:p>
    <w:p>
      <w:pPr>
        <w:widowControl/>
        <w:spacing w:line="600" w:lineRule="exact"/>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line="600" w:lineRule="exact"/>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317.47</w:t>
      </w:r>
      <w:r>
        <w:rPr>
          <w:rFonts w:hint="eastAsia" w:ascii="宋体" w:hAnsi="宋体" w:cs="宋体"/>
          <w:color w:val="3E3E3E"/>
          <w:kern w:val="0"/>
          <w:sz w:val="32"/>
          <w:szCs w:val="32"/>
        </w:rPr>
        <w:t>万元</w:t>
      </w:r>
    </w:p>
    <w:p>
      <w:pPr>
        <w:widowControl/>
        <w:spacing w:line="600" w:lineRule="exact"/>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8.57</w:t>
      </w:r>
      <w:r>
        <w:rPr>
          <w:rFonts w:hint="eastAsia" w:ascii="宋体" w:hAnsi="宋体" w:cs="宋体"/>
          <w:color w:val="3E3E3E"/>
          <w:kern w:val="0"/>
          <w:sz w:val="32"/>
          <w:szCs w:val="32"/>
        </w:rPr>
        <w:t>万元</w:t>
      </w:r>
    </w:p>
    <w:p>
      <w:pPr>
        <w:widowControl/>
        <w:spacing w:line="600" w:lineRule="exact"/>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17.88</w:t>
      </w:r>
      <w:r>
        <w:rPr>
          <w:rFonts w:hint="eastAsia" w:ascii="宋体" w:hAnsi="宋体" w:cs="宋体"/>
          <w:color w:val="3E3E3E"/>
          <w:kern w:val="0"/>
          <w:sz w:val="32"/>
          <w:szCs w:val="32"/>
        </w:rPr>
        <w:t>万元</w:t>
      </w:r>
    </w:p>
    <w:p>
      <w:pPr>
        <w:widowControl/>
        <w:spacing w:line="600" w:lineRule="exact"/>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343.92</w:t>
      </w:r>
      <w:r>
        <w:rPr>
          <w:rFonts w:hint="eastAsia" w:ascii="宋体" w:hAnsi="宋体" w:cs="宋体"/>
          <w:color w:val="3E3E3E"/>
          <w:kern w:val="0"/>
          <w:sz w:val="32"/>
          <w:szCs w:val="32"/>
        </w:rPr>
        <w:t>万元。</w:t>
      </w:r>
    </w:p>
    <w:p>
      <w:pPr>
        <w:widowControl/>
        <w:spacing w:line="600" w:lineRule="exact"/>
        <w:ind w:firstLine="640" w:firstLineChars="200"/>
        <w:jc w:val="left"/>
        <w:rPr>
          <w:rFonts w:ascii="宋体" w:cs="宋体"/>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line="600" w:lineRule="exact"/>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本部门无“三公”经费预算。</w:t>
      </w:r>
    </w:p>
    <w:p>
      <w:pPr>
        <w:autoSpaceDE w:val="0"/>
        <w:autoSpaceDN w:val="0"/>
        <w:adjustRightInd w:val="0"/>
        <w:spacing w:line="600" w:lineRule="exact"/>
        <w:ind w:firstLine="640" w:firstLineChars="200"/>
        <w:rPr>
          <w:rFonts w:ascii="宋体" w:cs="Times New Roman"/>
          <w:color w:val="3E3E3E"/>
          <w:kern w:val="0"/>
          <w:sz w:val="32"/>
          <w:szCs w:val="32"/>
        </w:rPr>
      </w:pPr>
    </w:p>
    <w:p>
      <w:pPr>
        <w:autoSpaceDE w:val="0"/>
        <w:autoSpaceDN w:val="0"/>
        <w:adjustRightInd w:val="0"/>
        <w:spacing w:line="600" w:lineRule="exac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spacing w:line="600" w:lineRule="exact"/>
        <w:ind w:firstLine="640" w:firstLineChars="200"/>
        <w:rPr>
          <w:rFonts w:ascii="宋体" w:cs="Times New Roman"/>
          <w:color w:val="3E3E3E"/>
          <w:kern w:val="0"/>
          <w:sz w:val="32"/>
          <w:szCs w:val="32"/>
        </w:rPr>
      </w:pPr>
      <w:r>
        <w:rPr>
          <w:rFonts w:hint="eastAsia" w:ascii="宋体" w:hAnsi="宋体" w:cs="宋体"/>
          <w:color w:val="3E3E3E"/>
          <w:kern w:val="0"/>
          <w:sz w:val="32"/>
          <w:szCs w:val="32"/>
        </w:rPr>
        <w:t>本部门无政府性基金预算。</w:t>
      </w:r>
    </w:p>
    <w:p>
      <w:pPr>
        <w:autoSpaceDE w:val="0"/>
        <w:autoSpaceDN w:val="0"/>
        <w:adjustRightInd w:val="0"/>
        <w:spacing w:line="600" w:lineRule="exact"/>
        <w:ind w:firstLine="643" w:firstLineChars="200"/>
        <w:rPr>
          <w:rFonts w:ascii="宋体" w:cs="宋体"/>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spacing w:line="600" w:lineRule="exact"/>
        <w:ind w:firstLine="640" w:firstLineChars="200"/>
        <w:rPr>
          <w:rFonts w:ascii="宋体" w:cs="Times New Roman"/>
          <w:color w:val="3E3E3E"/>
          <w:kern w:val="0"/>
          <w:sz w:val="32"/>
          <w:szCs w:val="32"/>
        </w:rPr>
      </w:pPr>
      <w:r>
        <w:rPr>
          <w:rFonts w:hint="eastAsia" w:ascii="宋体" w:hAnsi="宋体" w:cs="宋体"/>
          <w:color w:val="3E3E3E"/>
          <w:kern w:val="0"/>
          <w:sz w:val="32"/>
          <w:szCs w:val="32"/>
        </w:rPr>
        <w:t>本部门</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1285.47</w:t>
      </w:r>
      <w:r>
        <w:rPr>
          <w:rFonts w:hint="eastAsia" w:ascii="宋体" w:hAnsi="宋体" w:cs="宋体"/>
          <w:color w:val="3E3E3E"/>
          <w:kern w:val="0"/>
          <w:sz w:val="32"/>
          <w:szCs w:val="32"/>
        </w:rPr>
        <w:t>万元，其中财政拨款</w:t>
      </w:r>
      <w:r>
        <w:rPr>
          <w:rFonts w:ascii="宋体" w:hAnsi="宋体" w:cs="宋体"/>
          <w:color w:val="3E3E3E"/>
          <w:kern w:val="0"/>
          <w:sz w:val="32"/>
          <w:szCs w:val="32"/>
        </w:rPr>
        <w:t>1285.47</w:t>
      </w:r>
      <w:r>
        <w:rPr>
          <w:rFonts w:hint="eastAsia" w:ascii="宋体" w:hAnsi="宋体" w:cs="宋体"/>
          <w:color w:val="3E3E3E"/>
          <w:kern w:val="0"/>
          <w:sz w:val="32"/>
          <w:szCs w:val="32"/>
        </w:rPr>
        <w:t>万元。</w:t>
      </w:r>
    </w:p>
    <w:p>
      <w:pPr>
        <w:autoSpaceDE w:val="0"/>
        <w:autoSpaceDN w:val="0"/>
        <w:adjustRightInd w:val="0"/>
        <w:spacing w:line="600" w:lineRule="exact"/>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ascii="宋体" w:hAnsi="宋体" w:cs="宋体"/>
          <w:color w:val="3E3E3E"/>
          <w:kern w:val="0"/>
          <w:sz w:val="32"/>
          <w:szCs w:val="32"/>
        </w:rPr>
        <w:t>1285.47</w:t>
      </w:r>
      <w:r>
        <w:rPr>
          <w:rFonts w:hint="eastAsia" w:ascii="宋体" w:hAnsi="宋体" w:cs="宋体"/>
          <w:color w:val="3E3E3E"/>
          <w:kern w:val="0"/>
          <w:sz w:val="32"/>
          <w:szCs w:val="32"/>
        </w:rPr>
        <w:t>万元。</w:t>
      </w:r>
    </w:p>
    <w:p>
      <w:pPr>
        <w:autoSpaceDE w:val="0"/>
        <w:autoSpaceDN w:val="0"/>
        <w:adjustRightInd w:val="0"/>
        <w:spacing w:line="600" w:lineRule="exact"/>
        <w:ind w:firstLine="643" w:firstLineChars="200"/>
        <w:rPr>
          <w:rFonts w:ascii="宋体" w:cs="宋体"/>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spacing w:line="600" w:lineRule="exact"/>
        <w:ind w:firstLine="640" w:firstLineChars="200"/>
        <w:rPr>
          <w:rFonts w:ascii="宋体" w:cs="Times New Roman"/>
          <w:color w:val="3E3E3E"/>
          <w:kern w:val="0"/>
          <w:sz w:val="32"/>
          <w:szCs w:val="32"/>
        </w:rPr>
      </w:pPr>
      <w:r>
        <w:rPr>
          <w:rFonts w:hint="eastAsia" w:ascii="宋体" w:hAnsi="宋体" w:cs="宋体"/>
          <w:color w:val="3E3E3E"/>
          <w:kern w:val="0"/>
          <w:sz w:val="32"/>
          <w:szCs w:val="32"/>
        </w:rPr>
        <w:t>本部门</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1285.47</w:t>
      </w:r>
      <w:r>
        <w:rPr>
          <w:rFonts w:hint="eastAsia" w:ascii="宋体" w:hAnsi="宋体" w:cs="宋体"/>
          <w:color w:val="3E3E3E"/>
          <w:kern w:val="0"/>
          <w:sz w:val="32"/>
          <w:szCs w:val="32"/>
        </w:rPr>
        <w:t>万元，其中财政拨款</w:t>
      </w:r>
      <w:r>
        <w:rPr>
          <w:rFonts w:ascii="宋体" w:hAnsi="宋体" w:cs="宋体"/>
          <w:color w:val="3E3E3E"/>
          <w:kern w:val="0"/>
          <w:sz w:val="32"/>
          <w:szCs w:val="32"/>
        </w:rPr>
        <w:t>1285.47</w:t>
      </w:r>
      <w:r>
        <w:rPr>
          <w:rFonts w:hint="eastAsia" w:ascii="宋体" w:hAnsi="宋体" w:cs="宋体"/>
          <w:color w:val="3E3E3E"/>
          <w:kern w:val="0"/>
          <w:sz w:val="32"/>
          <w:szCs w:val="32"/>
        </w:rPr>
        <w:t>万元。</w:t>
      </w:r>
    </w:p>
    <w:p>
      <w:pPr>
        <w:autoSpaceDE w:val="0"/>
        <w:autoSpaceDN w:val="0"/>
        <w:adjustRightInd w:val="0"/>
        <w:spacing w:line="600" w:lineRule="exact"/>
        <w:ind w:firstLine="643" w:firstLineChars="200"/>
        <w:rPr>
          <w:rFonts w:ascii="宋体" w:cs="Times New Roman"/>
          <w:color w:val="3E3E3E"/>
          <w:kern w:val="0"/>
          <w:sz w:val="32"/>
          <w:szCs w:val="32"/>
        </w:rPr>
      </w:pPr>
      <w:r>
        <w:rPr>
          <w:rFonts w:hint="eastAsia" w:ascii="宋体" w:hAnsi="宋体" w:cs="宋体"/>
          <w:b/>
          <w:bCs/>
          <w:color w:val="3E3E3E"/>
          <w:kern w:val="0"/>
          <w:sz w:val="32"/>
          <w:szCs w:val="32"/>
        </w:rPr>
        <w:t>八、部门支出总表情况</w:t>
      </w:r>
    </w:p>
    <w:p>
      <w:pPr>
        <w:autoSpaceDE w:val="0"/>
        <w:autoSpaceDN w:val="0"/>
        <w:adjustRightInd w:val="0"/>
        <w:spacing w:line="600" w:lineRule="exact"/>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按功能分类：行政运行支出</w:t>
      </w:r>
      <w:r>
        <w:rPr>
          <w:rFonts w:ascii="宋体" w:hAnsi="宋体" w:cs="宋体"/>
          <w:color w:val="3E3E3E"/>
          <w:kern w:val="0"/>
          <w:sz w:val="32"/>
          <w:szCs w:val="32"/>
        </w:rPr>
        <w:t>343.92</w:t>
      </w:r>
      <w:r>
        <w:rPr>
          <w:rFonts w:hint="eastAsia" w:ascii="宋体" w:hAnsi="宋体" w:cs="宋体"/>
          <w:color w:val="3E3E3E"/>
          <w:kern w:val="0"/>
          <w:sz w:val="32"/>
          <w:szCs w:val="32"/>
        </w:rPr>
        <w:t>万元，一般行政管理事务支出</w:t>
      </w:r>
      <w:r>
        <w:rPr>
          <w:rFonts w:ascii="宋体" w:hAnsi="宋体" w:cs="宋体"/>
          <w:color w:val="3E3E3E"/>
          <w:kern w:val="0"/>
          <w:sz w:val="32"/>
          <w:szCs w:val="32"/>
        </w:rPr>
        <w:t>941.55</w:t>
      </w:r>
      <w:r>
        <w:rPr>
          <w:rFonts w:hint="eastAsia" w:ascii="宋体" w:hAnsi="宋体" w:cs="宋体"/>
          <w:color w:val="3E3E3E"/>
          <w:kern w:val="0"/>
          <w:sz w:val="32"/>
          <w:szCs w:val="32"/>
        </w:rPr>
        <w:t>万元。</w:t>
      </w:r>
    </w:p>
    <w:p>
      <w:pPr>
        <w:autoSpaceDE w:val="0"/>
        <w:autoSpaceDN w:val="0"/>
        <w:adjustRightInd w:val="0"/>
        <w:spacing w:line="600" w:lineRule="exact"/>
        <w:ind w:firstLine="643" w:firstLineChars="200"/>
        <w:rPr>
          <w:rFonts w:ascii="宋体" w:cs="宋体"/>
          <w:b/>
          <w:bCs/>
          <w:color w:val="3E3E3E"/>
          <w:kern w:val="0"/>
          <w:sz w:val="32"/>
          <w:szCs w:val="32"/>
        </w:rPr>
      </w:pPr>
      <w:r>
        <w:rPr>
          <w:rFonts w:hint="eastAsia" w:ascii="宋体" w:hAnsi="宋体" w:cs="宋体"/>
          <w:b/>
          <w:bCs/>
          <w:color w:val="3E3E3E"/>
          <w:kern w:val="0"/>
          <w:sz w:val="32"/>
          <w:szCs w:val="32"/>
        </w:rPr>
        <w:t>九、机关运行经费支出情况</w:t>
      </w:r>
    </w:p>
    <w:p>
      <w:pPr>
        <w:spacing w:line="600" w:lineRule="exact"/>
        <w:ind w:firstLine="640" w:firstLineChars="200"/>
        <w:rPr>
          <w:rFonts w:ascii="宋体" w:cs="宋体"/>
          <w:sz w:val="32"/>
          <w:szCs w:val="32"/>
        </w:rPr>
      </w:pPr>
      <w:r>
        <w:rPr>
          <w:rFonts w:ascii="宋体" w:hAnsi="宋体" w:cs="宋体"/>
          <w:sz w:val="32"/>
          <w:szCs w:val="32"/>
        </w:rPr>
        <w:t>2022</w:t>
      </w:r>
      <w:r>
        <w:rPr>
          <w:rFonts w:hint="eastAsia" w:ascii="宋体" w:hAnsi="宋体" w:cs="宋体"/>
          <w:sz w:val="32"/>
          <w:szCs w:val="32"/>
        </w:rPr>
        <w:t>年政法委运行经费财政拨款支出</w:t>
      </w:r>
      <w:r>
        <w:rPr>
          <w:rFonts w:ascii="宋体" w:hAnsi="宋体" w:cs="宋体"/>
          <w:sz w:val="32"/>
          <w:szCs w:val="32"/>
        </w:rPr>
        <w:t>8.57</w:t>
      </w:r>
      <w:r>
        <w:rPr>
          <w:rFonts w:hint="eastAsia" w:ascii="宋体" w:hAnsi="宋体" w:cs="宋体"/>
          <w:sz w:val="32"/>
          <w:szCs w:val="32"/>
        </w:rPr>
        <w:t>万元。</w:t>
      </w:r>
    </w:p>
    <w:p>
      <w:pPr>
        <w:spacing w:line="600" w:lineRule="exact"/>
        <w:rPr>
          <w:rFonts w:ascii="宋体" w:cs="Times New Roman"/>
          <w:sz w:val="32"/>
          <w:szCs w:val="32"/>
        </w:rPr>
      </w:pPr>
      <w:r>
        <w:rPr>
          <w:rFonts w:ascii="宋体" w:hAnsi="宋体" w:cs="宋体"/>
          <w:sz w:val="32"/>
          <w:szCs w:val="32"/>
        </w:rPr>
        <w:t xml:space="preserve">    </w:t>
      </w:r>
      <w:r>
        <w:rPr>
          <w:rFonts w:hint="eastAsia" w:ascii="宋体" w:hAnsi="宋体" w:cs="宋体"/>
          <w:b/>
          <w:bCs/>
          <w:color w:val="3E3E3E"/>
          <w:kern w:val="0"/>
          <w:sz w:val="32"/>
          <w:szCs w:val="32"/>
        </w:rPr>
        <w:t>十、政府采购支出情况</w:t>
      </w:r>
    </w:p>
    <w:p>
      <w:pPr>
        <w:spacing w:line="6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年政法委采购项目预算</w:t>
      </w:r>
      <w:r>
        <w:rPr>
          <w:rFonts w:ascii="宋体" w:hAnsi="宋体" w:cs="宋体"/>
          <w:sz w:val="32"/>
          <w:szCs w:val="32"/>
        </w:rPr>
        <w:t>288.63</w:t>
      </w:r>
      <w:r>
        <w:rPr>
          <w:rFonts w:hint="eastAsia" w:ascii="宋体" w:hAnsi="宋体" w:cs="宋体"/>
          <w:sz w:val="32"/>
          <w:szCs w:val="32"/>
        </w:rPr>
        <w:t>万元，主要是长春市公安局交通警察支队二道区交警大队交通协勤员服务采购项目资金，实行政府采购。</w:t>
      </w:r>
    </w:p>
    <w:p>
      <w:pPr>
        <w:spacing w:line="600" w:lineRule="exact"/>
        <w:rPr>
          <w:rFonts w:ascii="宋体" w:cs="宋体"/>
          <w:b/>
          <w:bCs/>
          <w:color w:val="3E3E3E"/>
          <w:kern w:val="0"/>
          <w:sz w:val="32"/>
          <w:szCs w:val="32"/>
        </w:rPr>
      </w:pPr>
      <w:r>
        <w:rPr>
          <w:rFonts w:ascii="宋体" w:hAnsi="宋体" w:cs="宋体"/>
          <w:sz w:val="32"/>
          <w:szCs w:val="32"/>
        </w:rPr>
        <w:t xml:space="preserve">    </w:t>
      </w:r>
      <w:r>
        <w:rPr>
          <w:rFonts w:hint="eastAsia" w:ascii="宋体" w:hAnsi="宋体" w:cs="宋体"/>
          <w:b/>
          <w:bCs/>
          <w:color w:val="3E3E3E"/>
          <w:kern w:val="0"/>
          <w:sz w:val="32"/>
          <w:szCs w:val="32"/>
        </w:rPr>
        <w:t>十一、国有资产占用情况</w:t>
      </w:r>
    </w:p>
    <w:p>
      <w:pPr>
        <w:spacing w:line="6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年政法委无国有资产占用。</w:t>
      </w:r>
    </w:p>
    <w:p>
      <w:pPr>
        <w:spacing w:line="600" w:lineRule="exact"/>
        <w:ind w:firstLine="643" w:firstLineChars="200"/>
        <w:rPr>
          <w:rFonts w:ascii="宋体" w:cs="宋体"/>
          <w:b/>
          <w:bCs/>
          <w:color w:val="3E3E3E"/>
          <w:kern w:val="0"/>
          <w:sz w:val="32"/>
          <w:szCs w:val="32"/>
        </w:rPr>
      </w:pPr>
      <w:r>
        <w:rPr>
          <w:rFonts w:hint="eastAsia" w:ascii="宋体" w:hAnsi="宋体" w:cs="宋体"/>
          <w:b/>
          <w:bCs/>
          <w:color w:val="3E3E3E"/>
          <w:kern w:val="0"/>
          <w:sz w:val="32"/>
          <w:szCs w:val="32"/>
        </w:rPr>
        <w:t>十二、预算绩效情况</w:t>
      </w:r>
    </w:p>
    <w:p>
      <w:pPr>
        <w:autoSpaceDE w:val="0"/>
        <w:autoSpaceDN w:val="0"/>
        <w:adjustRightInd w:val="0"/>
        <w:spacing w:line="600" w:lineRule="exact"/>
        <w:ind w:firstLine="640" w:firstLineChars="200"/>
        <w:rPr>
          <w:rFonts w:ascii="宋体" w:cs="宋体"/>
          <w:sz w:val="32"/>
          <w:szCs w:val="32"/>
        </w:rPr>
      </w:pPr>
      <w:r>
        <w:rPr>
          <w:rFonts w:ascii="宋体" w:hAnsi="宋体" w:cs="宋体"/>
          <w:sz w:val="32"/>
          <w:szCs w:val="32"/>
        </w:rPr>
        <w:t>2022</w:t>
      </w:r>
      <w:r>
        <w:rPr>
          <w:rFonts w:hint="eastAsia" w:ascii="宋体" w:hAnsi="宋体" w:cs="宋体"/>
          <w:sz w:val="32"/>
          <w:szCs w:val="32"/>
        </w:rPr>
        <w:t>年政法委预算项目主要是长春市公安局交通警察支队二道区交警大队交通协勤员服务项目，维护管理区域内道路交通秩序及安全辅助工作，绩效目标是确保区域内保证道路安全及秩序。</w:t>
      </w:r>
    </w:p>
    <w:p>
      <w:pPr>
        <w:autoSpaceDE w:val="0"/>
        <w:autoSpaceDN w:val="0"/>
        <w:adjustRightInd w:val="0"/>
        <w:spacing w:line="600" w:lineRule="exact"/>
        <w:rPr>
          <w:rFonts w:ascii="宋体" w:cs="Times New Roman"/>
          <w:color w:val="3E3E3E"/>
          <w:kern w:val="0"/>
          <w:sz w:val="32"/>
          <w:szCs w:val="32"/>
        </w:rPr>
      </w:pPr>
    </w:p>
    <w:p>
      <w:pPr>
        <w:autoSpaceDE w:val="0"/>
        <w:autoSpaceDN w:val="0"/>
        <w:adjustRightInd w:val="0"/>
        <w:spacing w:line="600" w:lineRule="exact"/>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二、事业收入：指事业单位开展专业业务活动及辅助活动所取得的收入。</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600" w:lineRule="exact"/>
        <w:rPr>
          <w:rFonts w:ascii="宋体" w:cs="Times New Roman"/>
          <w:kern w:val="0"/>
          <w:sz w:val="32"/>
          <w:szCs w:val="32"/>
        </w:rPr>
      </w:pP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rPr>
          <w:rFonts w:ascii="宋体"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BEABF"/>
    <w:multiLevelType w:val="singleLevel"/>
    <w:tmpl w:val="383BEABF"/>
    <w:lvl w:ilvl="0" w:tentative="0">
      <w:start w:val="2"/>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3791E"/>
    <w:rsid w:val="00075C6E"/>
    <w:rsid w:val="000A1373"/>
    <w:rsid w:val="000F087E"/>
    <w:rsid w:val="00102AEA"/>
    <w:rsid w:val="00112E35"/>
    <w:rsid w:val="001A03DE"/>
    <w:rsid w:val="001A067E"/>
    <w:rsid w:val="001C3DB7"/>
    <w:rsid w:val="001D764C"/>
    <w:rsid w:val="001E1757"/>
    <w:rsid w:val="001F4768"/>
    <w:rsid w:val="002A154B"/>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449EA"/>
    <w:rsid w:val="00762C61"/>
    <w:rsid w:val="00795184"/>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0FC2416"/>
    <w:rsid w:val="0AC86D98"/>
    <w:rsid w:val="16805696"/>
    <w:rsid w:val="22057A5E"/>
    <w:rsid w:val="254C2FF9"/>
    <w:rsid w:val="27B3773E"/>
    <w:rsid w:val="33A16F2C"/>
    <w:rsid w:val="3D6510C4"/>
    <w:rsid w:val="3DFB09DB"/>
    <w:rsid w:val="44DF3150"/>
    <w:rsid w:val="471F044F"/>
    <w:rsid w:val="51444915"/>
    <w:rsid w:val="53C42C27"/>
    <w:rsid w:val="63790661"/>
    <w:rsid w:val="6D8C05DE"/>
    <w:rsid w:val="6FC45BF1"/>
    <w:rsid w:val="73955CBB"/>
    <w:rsid w:val="7649264C"/>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2808</Words>
  <Characters>3084</Characters>
  <Lines>0</Lines>
  <Paragraphs>0</Paragraphs>
  <TotalTime>4</TotalTime>
  <ScaleCrop>false</ScaleCrop>
  <LinksUpToDate>false</LinksUpToDate>
  <CharactersWithSpaces>3149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dcterms:modified xsi:type="dcterms:W3CDTF">2022-01-04T02:44:23Z</dcterms:modified>
  <dc:title>2017年长春市工业和信息化局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