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Arial" w:hAnsi="Arial" w:eastAsia="方正小标宋简体" w:cs="Arial"/>
          <w:sz w:val="44"/>
          <w:szCs w:val="44"/>
          <w:lang w:val="en-US" w:eastAsia="zh-CN"/>
        </w:rPr>
      </w:pPr>
      <w:r>
        <w:rPr>
          <w:rFonts w:hint="eastAsia" w:ascii="Arial" w:hAnsi="Arial" w:eastAsia="方正小标宋简体" w:cs="Arial"/>
          <w:sz w:val="44"/>
          <w:szCs w:val="44"/>
          <w:lang w:val="en-US" w:eastAsia="zh-CN"/>
        </w:rPr>
        <w:t xml:space="preserve"> </w:t>
      </w:r>
      <w:bookmarkStart w:id="0" w:name="_GoBack"/>
      <w:bookmarkEnd w:id="0"/>
    </w:p>
    <w:p>
      <w:pPr>
        <w:jc w:val="center"/>
        <w:rPr>
          <w:rFonts w:hint="eastAsia" w:ascii="Arial" w:hAnsi="Arial" w:eastAsia="方正小标宋简体" w:cs="Arial"/>
          <w:sz w:val="44"/>
          <w:szCs w:val="44"/>
        </w:rPr>
      </w:pPr>
    </w:p>
    <w:p>
      <w:pPr>
        <w:jc w:val="center"/>
        <w:rPr>
          <w:rFonts w:hint="eastAsia" w:ascii="Arial" w:hAnsi="Arial" w:eastAsia="方正小标宋简体" w:cs="Arial"/>
          <w:sz w:val="44"/>
          <w:szCs w:val="44"/>
        </w:rPr>
      </w:pPr>
    </w:p>
    <w:p>
      <w:pPr>
        <w:jc w:val="center"/>
        <w:rPr>
          <w:rFonts w:ascii="Arial" w:hAnsi="Arial" w:eastAsia="方正小标宋简体" w:cs="Arial"/>
          <w:sz w:val="44"/>
          <w:szCs w:val="44"/>
        </w:rPr>
      </w:pPr>
    </w:p>
    <w:p>
      <w:pPr>
        <w:jc w:val="center"/>
        <w:rPr>
          <w:rFonts w:ascii="Arial" w:hAnsi="Arial" w:eastAsia="方正小标宋简体" w:cs="方正小标宋简体"/>
          <w:sz w:val="44"/>
          <w:szCs w:val="44"/>
        </w:rPr>
      </w:pPr>
      <w:r>
        <w:rPr>
          <w:rFonts w:ascii="Arial" w:hAnsi="Arial" w:eastAsia="方正小标宋简体" w:cs="Arial"/>
          <w:sz w:val="44"/>
          <w:szCs w:val="44"/>
        </w:rPr>
        <w:t>20</w:t>
      </w:r>
      <w:r>
        <w:rPr>
          <w:rFonts w:hint="eastAsia" w:ascii="Arial" w:hAnsi="Arial" w:eastAsia="方正小标宋简体" w:cs="Arial"/>
          <w:sz w:val="44"/>
          <w:szCs w:val="44"/>
        </w:rPr>
        <w:t>22</w:t>
      </w:r>
      <w:r>
        <w:rPr>
          <w:rFonts w:hint="eastAsia" w:ascii="Arial" w:hAnsi="Arial" w:eastAsia="方正小标宋简体" w:cs="方正小标宋简体"/>
          <w:sz w:val="44"/>
          <w:szCs w:val="44"/>
        </w:rPr>
        <w:t>年</w:t>
      </w:r>
    </w:p>
    <w:p>
      <w:pPr>
        <w:jc w:val="center"/>
        <w:rPr>
          <w:rFonts w:ascii="Arial" w:hAnsi="Arial" w:eastAsia="方正小标宋简体" w:cs="方正小标宋简体"/>
          <w:sz w:val="44"/>
          <w:szCs w:val="44"/>
        </w:rPr>
      </w:pPr>
      <w:r>
        <w:rPr>
          <w:rFonts w:hint="eastAsia" w:ascii="Arial" w:hAnsi="Arial" w:eastAsia="方正小标宋简体" w:cs="方正小标宋简体"/>
          <w:sz w:val="44"/>
          <w:szCs w:val="44"/>
        </w:rPr>
        <w:t>中国共产主义青年团长春市二道区委员会</w:t>
      </w:r>
    </w:p>
    <w:p>
      <w:pPr>
        <w:jc w:val="center"/>
        <w:rPr>
          <w:rFonts w:ascii="Arial" w:hAnsi="Arial" w:eastAsia="方正小标宋简体" w:cs="Times New Roman"/>
          <w:sz w:val="44"/>
          <w:szCs w:val="44"/>
        </w:rPr>
      </w:pPr>
      <w:r>
        <w:rPr>
          <w:rFonts w:hint="eastAsia" w:ascii="Arial" w:hAnsi="Arial" w:eastAsia="方正小标宋简体" w:cs="方正小标宋简体"/>
          <w:sz w:val="44"/>
          <w:szCs w:val="44"/>
        </w:rPr>
        <w:t>部门预算</w:t>
      </w: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spacing w:line="540" w:lineRule="exact"/>
        <w:jc w:val="center"/>
        <w:outlineLvl w:val="1"/>
        <w:rPr>
          <w:rFonts w:hint="eastAsia" w:ascii="方正小标宋简体" w:hAnsi="方正小标宋简体" w:eastAsia="方正小标宋简体" w:cs="Times New Roman"/>
          <w:sz w:val="44"/>
          <w:szCs w:val="44"/>
          <w:lang w:val="en-US" w:eastAsia="zh-CN"/>
        </w:rPr>
      </w:pPr>
    </w:p>
    <w:p>
      <w:pPr>
        <w:spacing w:line="540" w:lineRule="exact"/>
        <w:jc w:val="center"/>
        <w:outlineLvl w:val="1"/>
        <w:rPr>
          <w:rFonts w:hint="eastAsia" w:ascii="方正小标宋简体" w:hAnsi="方正小标宋简体" w:eastAsia="方正小标宋简体" w:cs="Times New Roman"/>
          <w:sz w:val="44"/>
          <w:szCs w:val="44"/>
          <w:lang w:val="en-US" w:eastAsia="zh-CN"/>
        </w:rPr>
      </w:pPr>
    </w:p>
    <w:p>
      <w:pPr>
        <w:spacing w:line="540" w:lineRule="exact"/>
        <w:jc w:val="center"/>
        <w:outlineLvl w:val="1"/>
        <w:rPr>
          <w:rFonts w:hint="eastAsia" w:ascii="方正小标宋简体" w:hAnsi="方正小标宋简体" w:eastAsia="方正小标宋简体" w:cs="Times New Roman"/>
          <w:sz w:val="44"/>
          <w:szCs w:val="44"/>
          <w:lang w:val="en-US" w:eastAsia="zh-CN"/>
        </w:rPr>
      </w:pPr>
    </w:p>
    <w:p>
      <w:pPr>
        <w:spacing w:line="540" w:lineRule="exact"/>
        <w:jc w:val="center"/>
        <w:outlineLvl w:val="1"/>
        <w:rPr>
          <w:rFonts w:ascii="方正小标宋简体" w:hAnsi="方正小标宋简体" w:eastAsia="方正小标宋简体" w:cs="Times New Roman"/>
          <w:sz w:val="44"/>
          <w:szCs w:val="44"/>
        </w:rPr>
      </w:pPr>
      <w:r>
        <w:rPr>
          <w:rFonts w:hint="eastAsia" w:ascii="方正小标宋简体" w:hAnsi="方正小标宋简体" w:eastAsia="方正小标宋简体" w:cs="Times New Roman"/>
          <w:sz w:val="44"/>
          <w:szCs w:val="44"/>
          <w:lang w:val="en-US" w:eastAsia="zh-CN"/>
        </w:rPr>
        <w:t>2022年1月4日</w:t>
      </w:r>
      <w:r>
        <w:rPr>
          <w:rFonts w:ascii="方正小标宋简体" w:hAnsi="方正小标宋简体" w:eastAsia="方正小标宋简体" w:cs="Times New Roman"/>
          <w:sz w:val="44"/>
          <w:szCs w:val="44"/>
        </w:rPr>
        <w:br w:type="page"/>
      </w:r>
      <w:r>
        <w:rPr>
          <w:rFonts w:hint="eastAsia" w:ascii="方正小标宋简体" w:hAnsi="方正小标宋简体" w:eastAsia="方正小标宋简体" w:cs="方正小标宋简体"/>
          <w:sz w:val="44"/>
          <w:szCs w:val="44"/>
        </w:rPr>
        <w:t>目录</w:t>
      </w:r>
    </w:p>
    <w:p>
      <w:pPr>
        <w:spacing w:line="540" w:lineRule="exact"/>
        <w:rPr>
          <w:rFonts w:ascii="方正小标宋简体" w:hAnsi="方正小标宋简体" w:eastAsia="方正小标宋简体" w:cs="Times New Roman"/>
          <w:sz w:val="44"/>
          <w:szCs w:val="44"/>
        </w:rPr>
      </w:pPr>
    </w:p>
    <w:p>
      <w:pPr>
        <w:spacing w:line="540" w:lineRule="exact"/>
        <w:rPr>
          <w:rFonts w:ascii="黑体" w:hAnsi="黑体" w:eastAsia="黑体" w:cs="Times New Roman"/>
          <w:sz w:val="32"/>
          <w:szCs w:val="32"/>
        </w:rPr>
      </w:pPr>
      <w:r>
        <w:rPr>
          <w:rFonts w:hint="eastAsia" w:ascii="黑体" w:hAnsi="黑体" w:eastAsia="黑体" w:cs="黑体"/>
          <w:sz w:val="32"/>
          <w:szCs w:val="32"/>
        </w:rPr>
        <w:t>第一部分部门概况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一、主要职能</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二、机构设置及部门预算单位构成</w:t>
      </w:r>
    </w:p>
    <w:p>
      <w:pPr>
        <w:spacing w:line="540" w:lineRule="exact"/>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w:t>
      </w:r>
      <w:r>
        <w:rPr>
          <w:rFonts w:hint="eastAsia" w:ascii="黑体" w:hAnsi="黑体" w:eastAsia="黑体" w:cs="黑体"/>
          <w:sz w:val="32"/>
          <w:szCs w:val="32"/>
        </w:rPr>
        <w:t>22年度部门预算表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一、财政拨款收支总表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二、一般公共预算支出表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三、一般公共预算基本支出表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四、一般公共预算“三公”经费支出表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五、政府性基金预算支出表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六、部门收支总表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七、部门收入总表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八、部门支出总表</w:t>
      </w:r>
    </w:p>
    <w:p>
      <w:pPr>
        <w:spacing w:line="540" w:lineRule="exact"/>
        <w:rPr>
          <w:rFonts w:ascii="黑体" w:hAnsi="黑体" w:eastAsia="黑体" w:cs="Times New Roman"/>
          <w:sz w:val="32"/>
          <w:szCs w:val="32"/>
        </w:rPr>
      </w:pPr>
      <w:r>
        <w:rPr>
          <w:rFonts w:hint="eastAsia" w:ascii="黑体" w:hAnsi="黑体" w:eastAsia="黑体" w:cs="黑体"/>
          <w:sz w:val="32"/>
          <w:szCs w:val="32"/>
        </w:rPr>
        <w:t>第三部分2022年度部门预算情况说明</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一、2022年财政拨款收支情况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二、2022年一般公共预算支出情况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三、2022年一般公共预算基本支出情况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四、2022年一般公共预算“三公”经费支出表情况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五、2022年政府性基金预算支出表情况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六、2022年部门收支总表情况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七、2022年部门收入总表情况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八、2022年部门支出总表情况</w:t>
      </w:r>
    </w:p>
    <w:p>
      <w:pPr>
        <w:spacing w:line="540" w:lineRule="exact"/>
        <w:rPr>
          <w:rFonts w:ascii="仿宋_GB2312" w:hAnsi="仿宋" w:eastAsia="仿宋_GB2312" w:cs="仿宋_GB2312"/>
          <w:sz w:val="32"/>
          <w:szCs w:val="32"/>
        </w:rPr>
      </w:pPr>
      <w:r>
        <w:rPr>
          <w:rFonts w:hint="eastAsia" w:ascii="仿宋_GB2312" w:hAnsi="仿宋" w:eastAsia="仿宋_GB2312" w:cs="仿宋_GB2312"/>
          <w:sz w:val="32"/>
          <w:szCs w:val="32"/>
        </w:rPr>
        <w:t>九、运行经费支出情况</w:t>
      </w:r>
    </w:p>
    <w:p>
      <w:pPr>
        <w:spacing w:line="540" w:lineRule="exact"/>
        <w:rPr>
          <w:rFonts w:ascii="仿宋_GB2312" w:hAnsi="仿宋" w:eastAsia="仿宋_GB2312" w:cs="仿宋_GB2312"/>
          <w:sz w:val="32"/>
          <w:szCs w:val="32"/>
        </w:rPr>
      </w:pPr>
      <w:r>
        <w:rPr>
          <w:rFonts w:hint="eastAsia" w:ascii="仿宋_GB2312" w:hAnsi="仿宋" w:eastAsia="仿宋_GB2312" w:cs="仿宋_GB2312"/>
          <w:sz w:val="32"/>
          <w:szCs w:val="32"/>
        </w:rPr>
        <w:t>十、政府采购支出情况</w:t>
      </w:r>
    </w:p>
    <w:p>
      <w:pPr>
        <w:spacing w:line="540" w:lineRule="exact"/>
        <w:rPr>
          <w:rFonts w:ascii="仿宋_GB2312" w:hAnsi="仿宋" w:eastAsia="仿宋_GB2312" w:cs="仿宋_GB2312"/>
          <w:sz w:val="32"/>
          <w:szCs w:val="32"/>
        </w:rPr>
      </w:pPr>
      <w:r>
        <w:rPr>
          <w:rFonts w:hint="eastAsia" w:ascii="仿宋_GB2312" w:hAnsi="仿宋" w:eastAsia="仿宋_GB2312" w:cs="仿宋_GB2312"/>
          <w:sz w:val="32"/>
          <w:szCs w:val="32"/>
        </w:rPr>
        <w:t>十一、国有资产占用情况</w:t>
      </w:r>
    </w:p>
    <w:p>
      <w:pPr>
        <w:spacing w:line="540" w:lineRule="exact"/>
        <w:rPr>
          <w:rFonts w:ascii="仿宋_GB2312" w:hAnsi="仿宋" w:eastAsia="仿宋_GB2312" w:cs="仿宋_GB2312"/>
          <w:sz w:val="32"/>
          <w:szCs w:val="32"/>
        </w:rPr>
      </w:pPr>
      <w:r>
        <w:rPr>
          <w:rFonts w:hint="eastAsia" w:ascii="仿宋_GB2312" w:hAnsi="仿宋" w:eastAsia="仿宋_GB2312" w:cs="仿宋_GB2312"/>
          <w:sz w:val="32"/>
          <w:szCs w:val="32"/>
        </w:rPr>
        <w:t>十二、预算绩效情况</w:t>
      </w:r>
    </w:p>
    <w:p>
      <w:pPr>
        <w:spacing w:line="540" w:lineRule="exact"/>
        <w:rPr>
          <w:rFonts w:ascii="黑体" w:hAnsi="黑体" w:eastAsia="黑体" w:cs="Times New Roman"/>
          <w:sz w:val="32"/>
          <w:szCs w:val="32"/>
        </w:rPr>
      </w:pPr>
      <w:r>
        <w:rPr>
          <w:rFonts w:hint="eastAsia" w:ascii="黑体" w:hAnsi="黑体" w:eastAsia="黑体" w:cs="黑体"/>
          <w:sz w:val="32"/>
          <w:szCs w:val="32"/>
        </w:rPr>
        <w:t>第四部分名词解释</w:t>
      </w: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p>
    <w:p>
      <w:pPr>
        <w:spacing w:line="360" w:lineRule="auto"/>
        <w:jc w:val="center"/>
        <w:rPr>
          <w:rFonts w:ascii="宋体" w:hAnsi="宋体" w:cs="宋体"/>
          <w:b/>
          <w:sz w:val="44"/>
          <w:szCs w:val="44"/>
        </w:rPr>
      </w:pPr>
      <w:r>
        <w:rPr>
          <w:rFonts w:hint="eastAsia" w:ascii="宋体" w:hAnsi="宋体" w:cs="宋体"/>
          <w:b/>
          <w:sz w:val="44"/>
          <w:szCs w:val="44"/>
        </w:rPr>
        <w:t>2022年度</w:t>
      </w:r>
    </w:p>
    <w:p>
      <w:pPr>
        <w:spacing w:line="360" w:lineRule="auto"/>
        <w:jc w:val="center"/>
        <w:rPr>
          <w:rFonts w:ascii="宋体" w:hAnsi="宋体" w:cs="宋体"/>
          <w:b/>
          <w:sz w:val="44"/>
          <w:szCs w:val="44"/>
        </w:rPr>
      </w:pPr>
      <w:r>
        <w:rPr>
          <w:rFonts w:hint="eastAsia" w:ascii="宋体" w:hAnsi="宋体" w:cs="宋体"/>
          <w:b/>
          <w:sz w:val="44"/>
          <w:szCs w:val="44"/>
        </w:rPr>
        <w:t>中国共产主义青年团长春市二道区委员会</w:t>
      </w:r>
    </w:p>
    <w:p>
      <w:pPr>
        <w:spacing w:line="360" w:lineRule="auto"/>
        <w:jc w:val="center"/>
        <w:rPr>
          <w:rFonts w:ascii="宋体" w:cs="Times New Roman"/>
          <w:b/>
          <w:sz w:val="44"/>
          <w:szCs w:val="44"/>
        </w:rPr>
      </w:pPr>
      <w:r>
        <w:rPr>
          <w:rFonts w:hint="eastAsia" w:ascii="宋体" w:hAnsi="宋体" w:cs="宋体"/>
          <w:b/>
          <w:sz w:val="44"/>
          <w:szCs w:val="44"/>
        </w:rPr>
        <w:t>部门预算</w:t>
      </w:r>
    </w:p>
    <w:p>
      <w:pPr>
        <w:widowControl/>
        <w:spacing w:before="100" w:beforeAutospacing="1" w:after="100" w:afterAutospacing="1" w:line="360" w:lineRule="auto"/>
        <w:jc w:val="center"/>
        <w:rPr>
          <w:rFonts w:ascii="宋体" w:cs="Times New Roman"/>
          <w:color w:val="3E3E3E"/>
          <w:kern w:val="0"/>
          <w:sz w:val="18"/>
          <w:szCs w:val="18"/>
        </w:rPr>
      </w:pPr>
    </w:p>
    <w:p>
      <w:pPr>
        <w:widowControl/>
        <w:spacing w:line="360" w:lineRule="auto"/>
        <w:jc w:val="left"/>
        <w:rPr>
          <w:rFonts w:ascii="宋体" w:cs="Times New Roman"/>
          <w:b/>
          <w:bCs/>
          <w:kern w:val="0"/>
          <w:sz w:val="32"/>
          <w:szCs w:val="32"/>
        </w:rPr>
      </w:pPr>
      <w:r>
        <w:rPr>
          <w:rFonts w:hint="eastAsia" w:ascii="宋体" w:hAnsi="宋体" w:cs="宋体"/>
          <w:b/>
          <w:bCs/>
          <w:kern w:val="0"/>
          <w:sz w:val="32"/>
          <w:szCs w:val="32"/>
        </w:rPr>
        <w:t>第一部分部门概述</w:t>
      </w:r>
    </w:p>
    <w:p>
      <w:pPr>
        <w:widowControl/>
        <w:spacing w:line="360" w:lineRule="auto"/>
        <w:ind w:firstLine="630" w:firstLineChars="196"/>
        <w:jc w:val="left"/>
        <w:rPr>
          <w:rFonts w:ascii="宋体" w:cs="宋体"/>
          <w:b/>
          <w:bCs/>
          <w:kern w:val="0"/>
          <w:sz w:val="32"/>
          <w:szCs w:val="32"/>
        </w:rPr>
      </w:pPr>
      <w:r>
        <w:rPr>
          <w:rFonts w:hint="eastAsia" w:ascii="宋体" w:hAnsi="宋体" w:cs="宋体"/>
          <w:b/>
          <w:bCs/>
          <w:kern w:val="0"/>
          <w:sz w:val="32"/>
          <w:szCs w:val="32"/>
        </w:rPr>
        <w:t>一、主要职责</w:t>
      </w:r>
    </w:p>
    <w:p>
      <w:pPr>
        <w:ind w:firstLine="645"/>
        <w:rPr>
          <w:rFonts w:ascii="Times New Roman" w:hAnsi="Times New Roman" w:eastAsia="仿宋" w:cs="Times New Roman"/>
          <w:sz w:val="32"/>
          <w:szCs w:val="32"/>
        </w:rPr>
      </w:pPr>
      <w:r>
        <w:rPr>
          <w:rFonts w:hint="eastAsia" w:ascii="Times New Roman" w:hAnsi="Times New Roman" w:eastAsia="仿宋" w:cs="Times New Roman"/>
          <w:sz w:val="32"/>
          <w:szCs w:val="32"/>
        </w:rPr>
        <w:t>共青团是党的助手和后备军，是党和政府联系青年的桥梁和纽带。团区委是全区共青团组织的领导机关，在区委的领导下组织开展共青团工作和青少年工作。团区委机关的主要职责是：</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（一）贯彻执行《中国共产党章程》、《中国共产主义青年团章程》和中央、省委、市委、区委要求，领导全区共青团工作和少先队工作。在区青联中发挥核心作用，对全区性青年社团组织进行指导和管理。</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贯彻落实党中央关于青年工作的方针、政策，根据党的中心任务和区委、团市委不同时期的工作部署，研究确定全区共青团工作的重点和主要措施，组织开展全区共青团工作，保持和增强共青团的政治性、先进性、群众性。</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（三）参与制定全区青少年事业发展规划和青少年工作方针、政策，协助政府管理青少年事务。教育和引导全区团员青年践行社会主义核心价值观，不断巩固和扩大党执政的青年群众基础。</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（四）培养有理想、有道德、有文化、有纪律的中国社会主义事业合格建设者和接班人，组织和带领青年在全区经济、政治、文化、社会、生态建设中发挥生力军和突击队作用。</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（五）调查全区青少年思想动态和青年工作状况，研究全区青少年运动、青少年工作理论和思想教育问题，及时向区委和团市委反映青年思想动态，提出意见和建议，开展各种活动，加强正确引导。</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六）加强网上共青团建设，健全智慧共青团平台，综合运用互联网新技术实现对青少年的有效服务、联系和凝聚。加强对青少年的网上宣传教育，开展网络文明志愿行动，组织青少年积极开展网上舆论斗争，弘扬网上主旋律。</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七）坚持党建带团建，提高团的建设科学化水平，巩固团建工作基础，扩大团的组织覆盖，重点向非公有制经济组织、社会组织等新兴领域和社区（村）等基础领域延伸团的组织和工作覆盖。对所属单位、青少年活动阵地、青少年综合服务平台等事务进行规划和管理。</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八）参与全区有关青少年事务的法规制定和实施，受区委、区政府委托，处理和协调与全区青少年利益相关的事务，依法维护青少年的合法权益，切实服务青少年。会同有关部门做好未成年人保护工作，有效预防青少年违法犯罪。</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（九）协助政府教育部门做好全区中小学生的教育管理工作，维护学校稳定和社会安定团结。</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（十）培育青少年事务社会工作专业人才队伍，制定全区青年志愿服务工作规划、意见，指导青年志愿服务工作。</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十一）负责全区青年统战、青少年外事和区内外青少年团体的交流工作；团结青年统战对象，维护和促进祖国统一和民族团结；发展同各国青年组织及一些国际性、区域性青年组织的交往；开展青年友好交流和经济联络工作；负责青年工作方面的对外宣传。</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（十二）加强全区专职、挂职、兼职团干部队伍建设，推动选好配强各级团组织负责人。落实从严治团，强化团员和团干部教育管理，提高综合素质，改进工作作风，严格团干部考核监督。</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（十三）</w:t>
      </w:r>
      <w:r>
        <w:rPr>
          <w:rFonts w:ascii="Times New Roman" w:hAnsi="Times New Roman" w:eastAsia="仿宋" w:cs="Times New Roman"/>
          <w:sz w:val="32"/>
          <w:szCs w:val="32"/>
        </w:rPr>
        <w:t>完成区委和区政府交办的其他任务</w:t>
      </w:r>
      <w:r>
        <w:rPr>
          <w:rFonts w:hint="eastAsia" w:ascii="Times New Roman" w:hAnsi="Times New Roman" w:eastAsia="仿宋" w:cs="Times New Roman"/>
          <w:sz w:val="32"/>
          <w:szCs w:val="32"/>
        </w:rPr>
        <w:t>。</w:t>
      </w:r>
    </w:p>
    <w:p>
      <w:pPr>
        <w:spacing w:line="540" w:lineRule="exact"/>
        <w:ind w:firstLine="640" w:firstLineChars="200"/>
        <w:rPr>
          <w:rFonts w:ascii="黑体" w:hAnsi="宋体" w:eastAsia="黑体" w:cs="宋体"/>
          <w:sz w:val="32"/>
          <w:szCs w:val="32"/>
        </w:rPr>
      </w:pPr>
      <w:r>
        <w:rPr>
          <w:rFonts w:hint="eastAsia" w:ascii="黑体" w:hAnsi="宋体" w:eastAsia="黑体" w:cs="宋体"/>
          <w:sz w:val="32"/>
          <w:szCs w:val="32"/>
        </w:rPr>
        <w:t>二、机构设置及部门预算单位构成</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团区委无内设机构</w:t>
      </w:r>
    </w:p>
    <w:p>
      <w:pPr>
        <w:widowControl/>
        <w:spacing w:line="360" w:lineRule="auto"/>
        <w:jc w:val="left"/>
        <w:rPr>
          <w:rFonts w:ascii="宋体" w:cs="Times New Roman"/>
          <w:b/>
          <w:bCs/>
          <w:kern w:val="0"/>
          <w:sz w:val="32"/>
          <w:szCs w:val="32"/>
        </w:rPr>
      </w:pPr>
      <w:r>
        <w:rPr>
          <w:rFonts w:hint="eastAsia" w:ascii="宋体" w:hAnsi="宋体" w:cs="宋体"/>
          <w:kern w:val="0"/>
          <w:sz w:val="32"/>
          <w:szCs w:val="32"/>
        </w:rPr>
        <w:t>　　</w:t>
      </w:r>
      <w:r>
        <w:rPr>
          <w:rFonts w:hint="eastAsia" w:ascii="宋体" w:hAnsi="宋体" w:cs="宋体"/>
          <w:b/>
          <w:bCs/>
          <w:kern w:val="0"/>
          <w:sz w:val="32"/>
          <w:szCs w:val="32"/>
        </w:rPr>
        <w:t>（一）部门预算单位构成</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中国共产主义青年团长春市二道区委员会本级</w:t>
      </w:r>
      <w:r>
        <w:rPr>
          <w:rFonts w:ascii="仿宋_GB2312" w:hAnsi="宋体" w:eastAsia="仿宋_GB2312" w:cs="宋体"/>
          <w:sz w:val="32"/>
          <w:szCs w:val="32"/>
        </w:rPr>
        <w:t>1</w:t>
      </w:r>
      <w:r>
        <w:rPr>
          <w:rFonts w:hint="eastAsia" w:ascii="仿宋_GB2312" w:hAnsi="宋体" w:eastAsia="仿宋_GB2312" w:cs="宋体"/>
          <w:sz w:val="32"/>
          <w:szCs w:val="32"/>
        </w:rPr>
        <w:t>个预算单位。</w:t>
      </w:r>
    </w:p>
    <w:p>
      <w:pPr>
        <w:widowControl/>
        <w:spacing w:line="360" w:lineRule="auto"/>
        <w:jc w:val="left"/>
        <w:rPr>
          <w:rFonts w:ascii="宋体" w:hAnsi="宋体" w:cs="宋体"/>
          <w:b/>
          <w:kern w:val="0"/>
          <w:sz w:val="32"/>
          <w:szCs w:val="32"/>
        </w:rPr>
      </w:pPr>
      <w:r>
        <w:rPr>
          <w:rFonts w:hint="eastAsia" w:ascii="宋体" w:hAnsi="宋体" w:cs="宋体"/>
          <w:b/>
          <w:kern w:val="0"/>
          <w:sz w:val="32"/>
          <w:szCs w:val="32"/>
        </w:rPr>
        <w:t>　　</w:t>
      </w:r>
      <w:r>
        <w:rPr>
          <w:rFonts w:ascii="宋体" w:hAnsi="宋体" w:cs="宋体"/>
          <w:b/>
          <w:kern w:val="0"/>
          <w:sz w:val="32"/>
          <w:szCs w:val="32"/>
        </w:rPr>
        <w:t>(</w:t>
      </w:r>
      <w:r>
        <w:rPr>
          <w:rFonts w:hint="eastAsia" w:ascii="宋体" w:hAnsi="宋体" w:cs="宋体"/>
          <w:b/>
          <w:kern w:val="0"/>
          <w:sz w:val="32"/>
          <w:szCs w:val="32"/>
        </w:rPr>
        <w:t>二</w:t>
      </w:r>
      <w:r>
        <w:rPr>
          <w:rFonts w:ascii="宋体" w:hAnsi="宋体" w:cs="宋体"/>
          <w:b/>
          <w:kern w:val="0"/>
          <w:sz w:val="32"/>
          <w:szCs w:val="32"/>
        </w:rPr>
        <w:t>)</w:t>
      </w:r>
      <w:r>
        <w:rPr>
          <w:rFonts w:hint="eastAsia" w:ascii="宋体" w:hAnsi="宋体" w:cs="宋体"/>
          <w:b/>
          <w:kern w:val="0"/>
          <w:sz w:val="32"/>
          <w:szCs w:val="32"/>
        </w:rPr>
        <w:t>预算单位人员构成情况</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中国共产主义青年团长春市二道区委员会现有人员</w:t>
      </w:r>
      <w:r>
        <w:rPr>
          <w:rFonts w:ascii="仿宋_GB2312" w:hAnsi="宋体" w:eastAsia="仿宋_GB2312" w:cs="宋体"/>
          <w:sz w:val="32"/>
          <w:szCs w:val="32"/>
        </w:rPr>
        <w:t>3</w:t>
      </w:r>
      <w:r>
        <w:rPr>
          <w:rFonts w:hint="eastAsia" w:ascii="仿宋_GB2312" w:hAnsi="宋体" w:eastAsia="仿宋_GB2312" w:cs="宋体"/>
          <w:sz w:val="32"/>
          <w:szCs w:val="32"/>
        </w:rPr>
        <w:t>人，在职人员</w:t>
      </w:r>
      <w:r>
        <w:rPr>
          <w:rFonts w:ascii="仿宋_GB2312" w:hAnsi="宋体" w:eastAsia="仿宋_GB2312" w:cs="宋体"/>
          <w:sz w:val="32"/>
          <w:szCs w:val="32"/>
        </w:rPr>
        <w:t>3</w:t>
      </w:r>
      <w:r>
        <w:rPr>
          <w:rFonts w:hint="eastAsia" w:ascii="仿宋_GB2312" w:hAnsi="宋体" w:eastAsia="仿宋_GB2312" w:cs="宋体"/>
          <w:sz w:val="32"/>
          <w:szCs w:val="32"/>
        </w:rPr>
        <w:t>人。</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黑体" w:hAnsi="黑体" w:eastAsia="黑体" w:cs="黑体"/>
          <w:sz w:val="32"/>
          <w:szCs w:val="32"/>
        </w:rPr>
        <w:t>第二部分2022年度部门预算表</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hint="eastAsia" w:ascii="宋体" w:hAnsi="宋体" w:cs="宋体"/>
          <w:b/>
          <w:bCs/>
          <w:color w:val="3E3E3E"/>
          <w:kern w:val="0"/>
          <w:sz w:val="32"/>
          <w:szCs w:val="32"/>
        </w:rPr>
        <w:t>　</w:t>
      </w:r>
      <w:r>
        <w:rPr>
          <w:rFonts w:hint="eastAsia" w:ascii="宋体" w:hAnsi="宋体" w:cs="宋体"/>
          <w:color w:val="3E3E3E"/>
          <w:kern w:val="0"/>
          <w:sz w:val="32"/>
          <w:szCs w:val="32"/>
        </w:rPr>
        <w:t>　附件：　</w:t>
      </w:r>
      <w:r>
        <w:fldChar w:fldCharType="begin"/>
      </w:r>
      <w:r>
        <w:instrText xml:space="preserve"> HYPERLINK "http://www.ccgxj.gov.cn/xxgkml/cwgk/201604/W020160405536935785252.xls" </w:instrText>
      </w:r>
      <w:r>
        <w:fldChar w:fldCharType="separate"/>
      </w:r>
      <w:r>
        <w:rPr>
          <w:rFonts w:ascii="宋体" w:hAnsi="宋体" w:cs="宋体"/>
          <w:color w:val="3E3E3E"/>
          <w:kern w:val="0"/>
          <w:sz w:val="32"/>
          <w:szCs w:val="32"/>
        </w:rPr>
        <w:t>1.</w:t>
      </w:r>
      <w:r>
        <w:rPr>
          <w:rFonts w:hint="eastAsia" w:ascii="宋体" w:hAnsi="宋体" w:cs="宋体"/>
          <w:color w:val="3E3E3E"/>
          <w:kern w:val="0"/>
          <w:sz w:val="32"/>
          <w:szCs w:val="32"/>
        </w:rPr>
        <w:t>2022年财政拨款收支总表</w:t>
      </w:r>
      <w:r>
        <w:rPr>
          <w:rFonts w:hint="eastAsia" w:ascii="宋体" w:hAnsi="宋体" w:cs="宋体"/>
          <w:color w:val="3E3E3E"/>
          <w:kern w:val="0"/>
          <w:sz w:val="32"/>
          <w:szCs w:val="32"/>
        </w:rPr>
        <w:fldChar w:fldCharType="end"/>
      </w:r>
    </w:p>
    <w:tbl>
      <w:tblPr>
        <w:tblStyle w:val="6"/>
        <w:tblW w:w="8797" w:type="dxa"/>
        <w:tblInd w:w="-106" w:type="dxa"/>
        <w:tblLayout w:type="fixed"/>
        <w:tblCellMar>
          <w:top w:w="0" w:type="dxa"/>
          <w:left w:w="108" w:type="dxa"/>
          <w:bottom w:w="0" w:type="dxa"/>
          <w:right w:w="108" w:type="dxa"/>
        </w:tblCellMar>
      </w:tblPr>
      <w:tblGrid>
        <w:gridCol w:w="3299"/>
        <w:gridCol w:w="805"/>
        <w:gridCol w:w="2081"/>
        <w:gridCol w:w="1002"/>
        <w:gridCol w:w="805"/>
        <w:gridCol w:w="805"/>
      </w:tblGrid>
      <w:tr>
        <w:tblPrEx>
          <w:tblCellMar>
            <w:top w:w="0" w:type="dxa"/>
            <w:left w:w="108" w:type="dxa"/>
            <w:bottom w:w="0" w:type="dxa"/>
            <w:right w:w="108" w:type="dxa"/>
          </w:tblCellMar>
        </w:tblPrEx>
        <w:trPr>
          <w:trHeight w:val="255" w:hRule="atLeast"/>
        </w:trPr>
        <w:tc>
          <w:tcPr>
            <w:tcW w:w="3299" w:type="dxa"/>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1</w:t>
            </w:r>
          </w:p>
        </w:tc>
        <w:tc>
          <w:tcPr>
            <w:tcW w:w="805" w:type="dxa"/>
            <w:tcBorders>
              <w:top w:val="nil"/>
              <w:left w:val="nil"/>
              <w:bottom w:val="nil"/>
              <w:right w:val="nil"/>
            </w:tcBorders>
            <w:vAlign w:val="bottom"/>
          </w:tcPr>
          <w:p>
            <w:pPr>
              <w:widowControl/>
              <w:jc w:val="left"/>
              <w:rPr>
                <w:rFonts w:ascii="宋体" w:cs="Times New Roman"/>
                <w:kern w:val="0"/>
                <w:sz w:val="20"/>
                <w:szCs w:val="20"/>
              </w:rPr>
            </w:pPr>
          </w:p>
        </w:tc>
        <w:tc>
          <w:tcPr>
            <w:tcW w:w="2081" w:type="dxa"/>
            <w:tcBorders>
              <w:top w:val="nil"/>
              <w:left w:val="nil"/>
              <w:bottom w:val="nil"/>
              <w:right w:val="nil"/>
            </w:tcBorders>
            <w:vAlign w:val="bottom"/>
          </w:tcPr>
          <w:p>
            <w:pPr>
              <w:widowControl/>
              <w:jc w:val="left"/>
              <w:rPr>
                <w:rFonts w:ascii="宋体" w:cs="Times New Roman"/>
                <w:kern w:val="0"/>
                <w:sz w:val="20"/>
                <w:szCs w:val="20"/>
              </w:rPr>
            </w:pPr>
          </w:p>
        </w:tc>
        <w:tc>
          <w:tcPr>
            <w:tcW w:w="1002" w:type="dxa"/>
            <w:tcBorders>
              <w:top w:val="nil"/>
              <w:left w:val="nil"/>
              <w:bottom w:val="nil"/>
              <w:right w:val="nil"/>
            </w:tcBorders>
            <w:vAlign w:val="bottom"/>
          </w:tcPr>
          <w:p>
            <w:pPr>
              <w:widowControl/>
              <w:jc w:val="left"/>
              <w:rPr>
                <w:rFonts w:ascii="宋体" w:cs="Times New Roman"/>
                <w:kern w:val="0"/>
                <w:sz w:val="20"/>
                <w:szCs w:val="20"/>
              </w:rPr>
            </w:pPr>
          </w:p>
        </w:tc>
        <w:tc>
          <w:tcPr>
            <w:tcW w:w="805" w:type="dxa"/>
            <w:tcBorders>
              <w:top w:val="nil"/>
              <w:left w:val="nil"/>
              <w:bottom w:val="nil"/>
              <w:right w:val="nil"/>
            </w:tcBorders>
            <w:vAlign w:val="bottom"/>
          </w:tcPr>
          <w:p>
            <w:pPr>
              <w:widowControl/>
              <w:jc w:val="left"/>
              <w:rPr>
                <w:rFonts w:ascii="宋体" w:cs="Times New Roman"/>
                <w:kern w:val="0"/>
                <w:sz w:val="20"/>
                <w:szCs w:val="20"/>
              </w:rPr>
            </w:pPr>
          </w:p>
        </w:tc>
        <w:tc>
          <w:tcPr>
            <w:tcW w:w="805"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8797" w:type="dxa"/>
            <w:gridSpan w:val="6"/>
            <w:tcBorders>
              <w:top w:val="nil"/>
              <w:left w:val="nil"/>
              <w:bottom w:val="nil"/>
              <w:right w:val="nil"/>
            </w:tcBorders>
            <w:shd w:val="clear" w:color="000000" w:fill="FFFFFF"/>
            <w:vAlign w:val="center"/>
          </w:tcPr>
          <w:p>
            <w:pPr>
              <w:widowControl/>
              <w:jc w:val="center"/>
              <w:rPr>
                <w:rFonts w:ascii="黑体" w:hAnsi="黑体" w:eastAsia="黑体" w:cs="Times New Roman"/>
                <w:b/>
                <w:bCs/>
                <w:color w:val="000000"/>
                <w:kern w:val="0"/>
                <w:sz w:val="28"/>
                <w:szCs w:val="28"/>
              </w:rPr>
            </w:pPr>
            <w:r>
              <w:rPr>
                <w:rFonts w:ascii="黑体" w:hAnsi="黑体" w:eastAsia="黑体" w:cs="黑体"/>
                <w:b/>
                <w:bCs/>
                <w:color w:val="000000"/>
                <w:kern w:val="0"/>
                <w:sz w:val="28"/>
                <w:szCs w:val="28"/>
              </w:rPr>
              <w:pict>
                <v:shape id="_x0000_i1025" o:spt="75" type="#_x0000_t75" style="height:218.95pt;width:479.5pt;" filled="f" o:preferrelative="t" stroked="f" coordsize="21600,21600">
                  <v:path/>
                  <v:fill on="f" focussize="0,0"/>
                  <v:stroke on="f" joinstyle="miter"/>
                  <v:imagedata r:id="rId4" o:title=""/>
                  <o:lock v:ext="edit" aspectratio="t"/>
                  <w10:wrap type="none"/>
                  <w10:anchorlock/>
                </v:shape>
              </w:pict>
            </w:r>
          </w:p>
        </w:tc>
      </w:tr>
    </w:tbl>
    <w:p>
      <w:pPr>
        <w:widowControl/>
        <w:spacing w:before="100" w:beforeAutospacing="1" w:after="100" w:afterAutospacing="1" w:line="360" w:lineRule="auto"/>
        <w:jc w:val="left"/>
      </w:pP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"http://www.ccgxj.gov.cn/xxgkml/cwgk/201604/W020160405536937505814.xls" </w:instrText>
      </w:r>
      <w:r>
        <w:fldChar w:fldCharType="separate"/>
      </w:r>
      <w:r>
        <w:rPr>
          <w:rFonts w:ascii="宋体" w:hAnsi="宋体" w:cs="宋体"/>
          <w:color w:val="3E3E3E"/>
          <w:kern w:val="0"/>
          <w:sz w:val="32"/>
          <w:szCs w:val="32"/>
        </w:rPr>
        <w:t>2.</w:t>
      </w:r>
      <w:r>
        <w:rPr>
          <w:rFonts w:hint="eastAsia" w:ascii="宋体" w:hAnsi="宋体" w:cs="宋体"/>
          <w:color w:val="3E3E3E"/>
          <w:kern w:val="0"/>
          <w:sz w:val="32"/>
          <w:szCs w:val="32"/>
        </w:rPr>
        <w:t>2022年一般公共预算预算支出表</w:t>
      </w:r>
      <w:r>
        <w:rPr>
          <w:rFonts w:hint="eastAsia" w:ascii="宋体" w:hAnsi="宋体" w:cs="宋体"/>
          <w:color w:val="3E3E3E"/>
          <w:kern w:val="0"/>
          <w:sz w:val="32"/>
          <w:szCs w:val="32"/>
        </w:rPr>
        <w:fldChar w:fldCharType="end"/>
      </w:r>
    </w:p>
    <w:tbl>
      <w:tblPr>
        <w:tblStyle w:val="6"/>
        <w:tblW w:w="8670" w:type="dxa"/>
        <w:tblInd w:w="-106" w:type="dxa"/>
        <w:tblLayout w:type="fixed"/>
        <w:tblCellMar>
          <w:top w:w="0" w:type="dxa"/>
          <w:left w:w="108" w:type="dxa"/>
          <w:bottom w:w="0" w:type="dxa"/>
          <w:right w:w="108" w:type="dxa"/>
        </w:tblCellMar>
      </w:tblPr>
      <w:tblGrid>
        <w:gridCol w:w="8670"/>
      </w:tblGrid>
      <w:tr>
        <w:tblPrEx>
          <w:tblCellMar>
            <w:top w:w="0" w:type="dxa"/>
            <w:left w:w="108" w:type="dxa"/>
            <w:bottom w:w="0" w:type="dxa"/>
            <w:right w:w="108" w:type="dxa"/>
          </w:tblCellMar>
        </w:tblPrEx>
        <w:trPr>
          <w:trHeight w:val="255" w:hRule="atLeast"/>
        </w:trPr>
        <w:tc>
          <w:tcPr>
            <w:tcW w:w="8670" w:type="dxa"/>
            <w:tcBorders>
              <w:top w:val="nil"/>
              <w:left w:val="nil"/>
              <w:bottom w:val="nil"/>
              <w:right w:val="nil"/>
            </w:tcBorders>
            <w:vAlign w:val="bottom"/>
          </w:tcPr>
          <w:p>
            <w:pPr>
              <w:widowControl/>
              <w:jc w:val="left"/>
              <w:rPr>
                <w:rFonts w:ascii="Arial" w:hAnsi="Arial" w:cs="Arial"/>
                <w:color w:val="000000"/>
                <w:kern w:val="0"/>
                <w:sz w:val="20"/>
                <w:szCs w:val="20"/>
              </w:rPr>
            </w:pPr>
            <w:r>
              <w:rPr>
                <w:rFonts w:hint="eastAsia" w:ascii="宋体" w:hAnsi="宋体" w:cs="宋体"/>
                <w:color w:val="000000"/>
                <w:kern w:val="0"/>
                <w:sz w:val="20"/>
                <w:szCs w:val="20"/>
              </w:rPr>
              <w:t>部门预算公开表</w:t>
            </w:r>
            <w:r>
              <w:rPr>
                <w:rFonts w:ascii="Arial" w:hAnsi="Arial" w:cs="Arial"/>
                <w:color w:val="000000"/>
                <w:kern w:val="0"/>
                <w:sz w:val="20"/>
                <w:szCs w:val="20"/>
              </w:rPr>
              <w:t>2</w:t>
            </w:r>
          </w:p>
        </w:tc>
      </w:tr>
    </w:tbl>
    <w:p>
      <w:pPr>
        <w:widowControl/>
        <w:spacing w:before="100" w:beforeAutospacing="1" w:after="100" w:afterAutospacing="1" w:line="360" w:lineRule="auto"/>
        <w:jc w:val="left"/>
        <w:rPr>
          <w:rFonts w:ascii="宋体" w:hAnsi="宋体" w:cs="宋体"/>
          <w:color w:val="3E3E3E"/>
          <w:kern w:val="0"/>
          <w:sz w:val="32"/>
          <w:szCs w:val="32"/>
        </w:rPr>
      </w:pPr>
      <w:r>
        <w:rPr>
          <w:rFonts w:ascii="宋体" w:hAnsi="宋体" w:cs="宋体"/>
          <w:color w:val="3E3E3E"/>
          <w:kern w:val="0"/>
          <w:sz w:val="32"/>
          <w:szCs w:val="32"/>
        </w:rPr>
        <w:pict>
          <v:shape id="_x0000_i1026" o:spt="75" type="#_x0000_t75" style="height:227.15pt;width:414.95pt;" filled="f" o:preferrelative="t" stroked="f" coordsize="21600,21600">
            <v:path/>
            <v:fill on="f" focussize="0,0"/>
            <v:stroke on="f" joinstyle="miter"/>
            <v:imagedata r:id="rId5" o:title=""/>
            <o:lock v:ext="edit" aspectratio="t"/>
            <w10:wrap type="none"/>
            <w10:anchorlock/>
          </v:shape>
        </w:pic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"http://www.ccgxj.gov.cn/xxgkml/cwgk/201604/W020160405536937815403.xls" </w:instrText>
      </w:r>
      <w:r>
        <w:fldChar w:fldCharType="separate"/>
      </w:r>
      <w:r>
        <w:rPr>
          <w:rFonts w:ascii="宋体" w:hAnsi="宋体" w:cs="宋体"/>
          <w:color w:val="3E3E3E"/>
          <w:kern w:val="0"/>
          <w:sz w:val="32"/>
          <w:szCs w:val="32"/>
        </w:rPr>
        <w:t>3.</w:t>
      </w:r>
      <w:r>
        <w:rPr>
          <w:rFonts w:hint="eastAsia" w:ascii="宋体" w:hAnsi="宋体" w:cs="宋体"/>
          <w:color w:val="3E3E3E"/>
          <w:kern w:val="0"/>
          <w:sz w:val="32"/>
          <w:szCs w:val="32"/>
        </w:rPr>
        <w:t>2022年一般公共预算部门基本支出表</w:t>
      </w:r>
      <w:r>
        <w:rPr>
          <w:rFonts w:hint="eastAsia" w:ascii="宋体" w:hAnsi="宋体" w:cs="宋体"/>
          <w:color w:val="3E3E3E"/>
          <w:kern w:val="0"/>
          <w:sz w:val="32"/>
          <w:szCs w:val="32"/>
        </w:rPr>
        <w:fldChar w:fldCharType="end"/>
      </w:r>
    </w:p>
    <w:tbl>
      <w:tblPr>
        <w:tblStyle w:val="6"/>
        <w:tblW w:w="8620" w:type="dxa"/>
        <w:tblInd w:w="-106" w:type="dxa"/>
        <w:tblLayout w:type="fixed"/>
        <w:tblCellMar>
          <w:top w:w="0" w:type="dxa"/>
          <w:left w:w="108" w:type="dxa"/>
          <w:bottom w:w="0" w:type="dxa"/>
          <w:right w:w="108" w:type="dxa"/>
        </w:tblCellMar>
      </w:tblPr>
      <w:tblGrid>
        <w:gridCol w:w="4590"/>
        <w:gridCol w:w="1360"/>
        <w:gridCol w:w="1440"/>
        <w:gridCol w:w="1230"/>
      </w:tblGrid>
      <w:tr>
        <w:tblPrEx>
          <w:tblCellMar>
            <w:top w:w="0" w:type="dxa"/>
            <w:left w:w="108" w:type="dxa"/>
            <w:bottom w:w="0" w:type="dxa"/>
            <w:right w:w="108" w:type="dxa"/>
          </w:tblCellMar>
        </w:tblPrEx>
        <w:trPr>
          <w:trHeight w:val="522" w:hRule="atLeast"/>
        </w:trPr>
        <w:tc>
          <w:tcPr>
            <w:tcW w:w="4590" w:type="dxa"/>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3</w:t>
            </w: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23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22" w:hRule="atLeast"/>
        </w:trPr>
        <w:tc>
          <w:tcPr>
            <w:tcW w:w="8620" w:type="dxa"/>
            <w:gridSpan w:val="4"/>
            <w:tcBorders>
              <w:top w:val="nil"/>
              <w:left w:val="nil"/>
              <w:bottom w:val="nil"/>
              <w:right w:val="nil"/>
            </w:tcBorders>
            <w:vAlign w:val="bottom"/>
          </w:tcPr>
          <w:p>
            <w:pPr>
              <w:widowControl/>
              <w:jc w:val="center"/>
              <w:rPr>
                <w:rFonts w:ascii="宋体" w:cs="Times New Roman"/>
                <w:b/>
                <w:bCs/>
                <w:color w:val="000000"/>
                <w:kern w:val="0"/>
                <w:sz w:val="36"/>
                <w:szCs w:val="36"/>
              </w:rPr>
            </w:pPr>
            <w:r>
              <w:rPr>
                <w:rFonts w:ascii="宋体" w:cs="Times New Roman"/>
                <w:b/>
                <w:bCs/>
                <w:color w:val="000000"/>
                <w:kern w:val="0"/>
                <w:sz w:val="36"/>
                <w:szCs w:val="36"/>
              </w:rPr>
              <w:pict>
                <v:shape id="_x0000_i1027" o:spt="75" type="#_x0000_t75" style="height:272.4pt;width:457.25pt;" filled="f" o:preferrelative="t" stroked="f" coordsize="21600,21600">
                  <v:path/>
                  <v:fill on="f" focussize="0,0"/>
                  <v:stroke on="f" joinstyle="miter"/>
                  <v:imagedata r:id="rId6" o:title=""/>
                  <o:lock v:ext="edit" aspectratio="t"/>
                  <w10:wrap type="none"/>
                  <w10:anchorlock/>
                </v:shape>
              </w:pict>
            </w:r>
          </w:p>
        </w:tc>
      </w:tr>
    </w:tbl>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"http://www.ccgxj.gov.cn/xxgkml/cwgk/201604/W020160405536939064777.xlsx" </w:instrText>
      </w:r>
      <w:r>
        <w:fldChar w:fldCharType="separate"/>
      </w:r>
      <w:r>
        <w:rPr>
          <w:rFonts w:ascii="宋体" w:hAnsi="宋体" w:cs="宋体"/>
          <w:color w:val="3E3E3E"/>
          <w:kern w:val="0"/>
          <w:sz w:val="32"/>
          <w:szCs w:val="32"/>
        </w:rPr>
        <w:t>4.</w:t>
      </w:r>
      <w:r>
        <w:rPr>
          <w:rFonts w:hint="eastAsia" w:ascii="宋体" w:hAnsi="宋体" w:cs="宋体"/>
          <w:color w:val="3E3E3E"/>
          <w:kern w:val="0"/>
          <w:sz w:val="32"/>
          <w:szCs w:val="32"/>
        </w:rPr>
        <w:t>2022年预算“三公经费”支出表</w:t>
      </w:r>
      <w:r>
        <w:rPr>
          <w:rFonts w:hint="eastAsia" w:ascii="宋体" w:hAnsi="宋体" w:cs="宋体"/>
          <w:color w:val="3E3E3E"/>
          <w:kern w:val="0"/>
          <w:sz w:val="32"/>
          <w:szCs w:val="32"/>
        </w:rPr>
        <w:fldChar w:fldCharType="end"/>
      </w:r>
    </w:p>
    <w:tbl>
      <w:tblPr>
        <w:tblStyle w:val="6"/>
        <w:tblW w:w="8315" w:type="dxa"/>
        <w:tblInd w:w="-106" w:type="dxa"/>
        <w:tblLayout w:type="fixed"/>
        <w:tblCellMar>
          <w:top w:w="0" w:type="dxa"/>
          <w:left w:w="108" w:type="dxa"/>
          <w:bottom w:w="0" w:type="dxa"/>
          <w:right w:w="108" w:type="dxa"/>
        </w:tblCellMar>
      </w:tblPr>
      <w:tblGrid>
        <w:gridCol w:w="3174"/>
        <w:gridCol w:w="926"/>
        <w:gridCol w:w="1680"/>
        <w:gridCol w:w="2535"/>
      </w:tblGrid>
      <w:tr>
        <w:tblPrEx>
          <w:tblCellMar>
            <w:top w:w="0" w:type="dxa"/>
            <w:left w:w="108" w:type="dxa"/>
            <w:bottom w:w="0" w:type="dxa"/>
            <w:right w:w="108" w:type="dxa"/>
          </w:tblCellMar>
        </w:tblPrEx>
        <w:trPr>
          <w:trHeight w:val="559" w:hRule="atLeast"/>
        </w:trPr>
        <w:tc>
          <w:tcPr>
            <w:tcW w:w="4100" w:type="dxa"/>
            <w:gridSpan w:val="2"/>
            <w:tcBorders>
              <w:top w:val="nil"/>
              <w:left w:val="nil"/>
              <w:bottom w:val="nil"/>
              <w:right w:val="nil"/>
            </w:tcBorders>
            <w:vAlign w:val="bottom"/>
          </w:tcPr>
          <w:p>
            <w:pPr>
              <w:widowControl/>
              <w:jc w:val="left"/>
              <w:rPr>
                <w:rFonts w:ascii="宋体" w:cs="Times New Roman"/>
                <w:color w:val="000000"/>
                <w:kern w:val="0"/>
                <w:sz w:val="20"/>
                <w:szCs w:val="20"/>
              </w:rPr>
            </w:pPr>
            <w:r>
              <w:pict>
                <v:shape id="_x0000_s2050" o:spid="_x0000_s2050" o:spt="75" type="#_x0000_t75" style="position:absolute;left:0pt;margin-left:17.1pt;margin-top:23.35pt;height:270.2pt;width:404.55pt;z-index:251659264;mso-width-relative:page;mso-height-relative:page;" filled="f" o:preferrelative="t" stroked="f" coordsize="21600,21600">
                  <v:path/>
                  <v:fill on="f" focussize="0,0"/>
                  <v:stroke on="f" joinstyle="miter"/>
                  <v:imagedata r:id="rId7" o:title=""/>
                  <o:lock v:ext="edit" aspectratio="t"/>
                </v:shape>
              </w:pict>
            </w:r>
            <w:r>
              <w:rPr>
                <w:rFonts w:hint="eastAsia" w:ascii="宋体" w:hAnsi="宋体" w:cs="宋体"/>
                <w:color w:val="000000"/>
                <w:kern w:val="0"/>
                <w:sz w:val="20"/>
                <w:szCs w:val="20"/>
              </w:rPr>
              <w:t>部门预算公开表</w:t>
            </w:r>
            <w:r>
              <w:rPr>
                <w:rFonts w:ascii="宋体" w:hAnsi="宋体" w:cs="宋体"/>
                <w:color w:val="000000"/>
                <w:kern w:val="0"/>
                <w:sz w:val="20"/>
                <w:szCs w:val="20"/>
              </w:rPr>
              <w:t>4</w:t>
            </w:r>
          </w:p>
        </w:tc>
        <w:tc>
          <w:tcPr>
            <w:tcW w:w="16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35"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559" w:hRule="atLeast"/>
        </w:trPr>
        <w:tc>
          <w:tcPr>
            <w:tcW w:w="8315" w:type="dxa"/>
            <w:gridSpan w:val="4"/>
            <w:tcBorders>
              <w:top w:val="nil"/>
              <w:left w:val="nil"/>
              <w:bottom w:val="nil"/>
              <w:right w:val="nil"/>
            </w:tcBorders>
            <w:vAlign w:val="bottom"/>
          </w:tcPr>
          <w:p>
            <w:pPr>
              <w:widowControl/>
              <w:jc w:val="center"/>
              <w:rPr>
                <w:rFonts w:ascii="宋体" w:cs="Times New Roman"/>
                <w:b/>
                <w:bCs/>
                <w:color w:val="000000"/>
                <w:kern w:val="0"/>
                <w:sz w:val="36"/>
                <w:szCs w:val="36"/>
              </w:rPr>
            </w:pPr>
          </w:p>
        </w:tc>
      </w:tr>
      <w:tr>
        <w:tblPrEx>
          <w:tblCellMar>
            <w:top w:w="0" w:type="dxa"/>
            <w:left w:w="108" w:type="dxa"/>
            <w:bottom w:w="0" w:type="dxa"/>
            <w:right w:w="108" w:type="dxa"/>
          </w:tblCellMar>
        </w:tblPrEx>
        <w:trPr>
          <w:trHeight w:val="559" w:hRule="atLeast"/>
        </w:trPr>
        <w:tc>
          <w:tcPr>
            <w:tcW w:w="3174" w:type="dxa"/>
            <w:tcBorders>
              <w:top w:val="nil"/>
              <w:left w:val="nil"/>
              <w:bottom w:val="nil"/>
              <w:right w:val="nil"/>
            </w:tcBorders>
            <w:vAlign w:val="bottom"/>
          </w:tcPr>
          <w:p>
            <w:pPr>
              <w:widowControl/>
              <w:jc w:val="left"/>
              <w:rPr>
                <w:rFonts w:ascii="Arial" w:hAnsi="Arial" w:cs="Arial"/>
                <w:color w:val="000000"/>
                <w:kern w:val="0"/>
                <w:sz w:val="20"/>
                <w:szCs w:val="20"/>
              </w:rPr>
            </w:pPr>
          </w:p>
          <w:p>
            <w:pPr>
              <w:widowControl/>
              <w:jc w:val="left"/>
              <w:rPr>
                <w:rFonts w:ascii="Arial" w:hAnsi="Arial" w:cs="Arial"/>
                <w:color w:val="000000"/>
                <w:kern w:val="0"/>
                <w:sz w:val="20"/>
                <w:szCs w:val="20"/>
              </w:rPr>
            </w:pPr>
          </w:p>
          <w:p>
            <w:pPr>
              <w:widowControl/>
              <w:jc w:val="left"/>
              <w:rPr>
                <w:rFonts w:ascii="Arial" w:hAnsi="Arial" w:cs="Arial"/>
                <w:color w:val="000000"/>
                <w:kern w:val="0"/>
                <w:sz w:val="20"/>
                <w:szCs w:val="20"/>
              </w:rPr>
            </w:pPr>
          </w:p>
          <w:p>
            <w:pPr>
              <w:widowControl/>
              <w:jc w:val="left"/>
              <w:rPr>
                <w:rFonts w:ascii="Arial" w:hAnsi="Arial" w:cs="Arial"/>
                <w:color w:val="000000"/>
                <w:kern w:val="0"/>
                <w:sz w:val="20"/>
                <w:szCs w:val="20"/>
              </w:rPr>
            </w:pPr>
          </w:p>
          <w:p>
            <w:pPr>
              <w:widowControl/>
              <w:jc w:val="left"/>
              <w:rPr>
                <w:rFonts w:ascii="Arial" w:hAnsi="Arial" w:cs="Arial"/>
                <w:color w:val="000000"/>
                <w:kern w:val="0"/>
                <w:sz w:val="20"/>
                <w:szCs w:val="20"/>
              </w:rPr>
            </w:pPr>
          </w:p>
          <w:p>
            <w:pPr>
              <w:widowControl/>
              <w:jc w:val="left"/>
              <w:rPr>
                <w:rFonts w:ascii="Arial" w:hAnsi="Arial" w:cs="Arial"/>
                <w:color w:val="000000"/>
                <w:kern w:val="0"/>
                <w:sz w:val="20"/>
                <w:szCs w:val="20"/>
              </w:rPr>
            </w:pPr>
          </w:p>
          <w:p>
            <w:pPr>
              <w:widowControl/>
              <w:jc w:val="left"/>
              <w:rPr>
                <w:rFonts w:ascii="Arial" w:hAnsi="Arial" w:cs="Arial"/>
                <w:color w:val="000000"/>
                <w:kern w:val="0"/>
                <w:sz w:val="20"/>
                <w:szCs w:val="20"/>
              </w:rPr>
            </w:pPr>
          </w:p>
          <w:p>
            <w:pPr>
              <w:widowControl/>
              <w:jc w:val="left"/>
              <w:rPr>
                <w:rFonts w:ascii="Arial" w:hAnsi="Arial" w:cs="Arial"/>
                <w:color w:val="000000"/>
                <w:kern w:val="0"/>
                <w:sz w:val="20"/>
                <w:szCs w:val="20"/>
              </w:rPr>
            </w:pPr>
          </w:p>
          <w:p>
            <w:pPr>
              <w:widowControl/>
              <w:jc w:val="left"/>
              <w:rPr>
                <w:rFonts w:ascii="Arial" w:hAnsi="Arial" w:cs="Arial"/>
                <w:color w:val="000000"/>
                <w:kern w:val="0"/>
                <w:sz w:val="20"/>
                <w:szCs w:val="20"/>
              </w:rPr>
            </w:pPr>
          </w:p>
          <w:p>
            <w:pPr>
              <w:widowControl/>
              <w:jc w:val="left"/>
              <w:rPr>
                <w:rFonts w:ascii="Arial" w:hAnsi="Arial" w:cs="Arial"/>
                <w:color w:val="000000"/>
                <w:kern w:val="0"/>
                <w:sz w:val="20"/>
                <w:szCs w:val="20"/>
              </w:rPr>
            </w:pPr>
          </w:p>
          <w:p>
            <w:pPr>
              <w:widowControl/>
              <w:jc w:val="left"/>
              <w:rPr>
                <w:rFonts w:ascii="Arial" w:hAnsi="Arial" w:cs="Arial"/>
                <w:color w:val="000000"/>
                <w:kern w:val="0"/>
                <w:sz w:val="20"/>
                <w:szCs w:val="20"/>
              </w:rPr>
            </w:pPr>
          </w:p>
        </w:tc>
        <w:tc>
          <w:tcPr>
            <w:tcW w:w="92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6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535" w:type="dxa"/>
            <w:tcBorders>
              <w:top w:val="nil"/>
              <w:left w:val="nil"/>
              <w:bottom w:val="nil"/>
              <w:right w:val="nil"/>
            </w:tcBorders>
            <w:vAlign w:val="bottom"/>
          </w:tcPr>
          <w:p>
            <w:pPr>
              <w:widowControl/>
              <w:jc w:val="left"/>
              <w:rPr>
                <w:rFonts w:ascii="Arial" w:hAnsi="Arial" w:cs="Arial"/>
                <w:color w:val="000000"/>
                <w:kern w:val="0"/>
                <w:sz w:val="20"/>
                <w:szCs w:val="20"/>
              </w:rPr>
            </w:pPr>
          </w:p>
        </w:tc>
      </w:tr>
    </w:tbl>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"http://www.ccgxj.gov.cn/xxgkml/cwgk/201604/W020160405536938434342.xls" </w:instrText>
      </w:r>
      <w:r>
        <w:fldChar w:fldCharType="separate"/>
      </w:r>
      <w:r>
        <w:rPr>
          <w:rFonts w:ascii="宋体" w:hAnsi="宋体" w:cs="宋体"/>
          <w:color w:val="3E3E3E"/>
          <w:kern w:val="0"/>
          <w:sz w:val="32"/>
          <w:szCs w:val="32"/>
        </w:rPr>
        <w:t>5.</w:t>
      </w:r>
      <w:r>
        <w:rPr>
          <w:rFonts w:hint="eastAsia" w:ascii="宋体" w:hAnsi="宋体" w:cs="宋体"/>
          <w:color w:val="3E3E3E"/>
          <w:kern w:val="0"/>
          <w:sz w:val="32"/>
          <w:szCs w:val="32"/>
        </w:rPr>
        <w:t>2022年预算基金支出表</w:t>
      </w:r>
      <w:r>
        <w:rPr>
          <w:rFonts w:hint="eastAsia" w:ascii="宋体" w:hAnsi="宋体" w:cs="宋体"/>
          <w:color w:val="3E3E3E"/>
          <w:kern w:val="0"/>
          <w:sz w:val="32"/>
          <w:szCs w:val="32"/>
        </w:rPr>
        <w:fldChar w:fldCharType="end"/>
      </w:r>
    </w:p>
    <w:tbl>
      <w:tblPr>
        <w:tblStyle w:val="6"/>
        <w:tblW w:w="8630" w:type="dxa"/>
        <w:tblInd w:w="-106" w:type="dxa"/>
        <w:tblLayout w:type="fixed"/>
        <w:tblCellMar>
          <w:top w:w="0" w:type="dxa"/>
          <w:left w:w="108" w:type="dxa"/>
          <w:bottom w:w="0" w:type="dxa"/>
          <w:right w:w="108" w:type="dxa"/>
        </w:tblCellMar>
      </w:tblPr>
      <w:tblGrid>
        <w:gridCol w:w="1720"/>
        <w:gridCol w:w="2670"/>
        <w:gridCol w:w="1400"/>
        <w:gridCol w:w="1480"/>
        <w:gridCol w:w="1360"/>
      </w:tblGrid>
      <w:tr>
        <w:tblPrEx>
          <w:tblCellMar>
            <w:top w:w="0" w:type="dxa"/>
            <w:left w:w="108" w:type="dxa"/>
            <w:bottom w:w="0" w:type="dxa"/>
            <w:right w:w="108" w:type="dxa"/>
          </w:tblCellMar>
        </w:tblPrEx>
        <w:trPr>
          <w:trHeight w:val="420" w:hRule="atLeast"/>
        </w:trPr>
        <w:tc>
          <w:tcPr>
            <w:tcW w:w="1720" w:type="dxa"/>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w:t>
            </w:r>
            <w:r>
              <w:rPr>
                <w:rFonts w:ascii="宋体" w:hAnsi="宋体" w:cs="宋体"/>
                <w:color w:val="000000"/>
                <w:kern w:val="0"/>
                <w:sz w:val="20"/>
                <w:szCs w:val="20"/>
              </w:rPr>
              <w:t>5</w:t>
            </w:r>
          </w:p>
        </w:tc>
        <w:tc>
          <w:tcPr>
            <w:tcW w:w="267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r>
    </w:tbl>
    <w:p>
      <w:pPr>
        <w:widowControl/>
        <w:spacing w:before="100" w:beforeAutospacing="1" w:after="100" w:afterAutospacing="1" w:line="360" w:lineRule="auto"/>
        <w:jc w:val="left"/>
      </w:pPr>
      <w:r>
        <w:rPr>
          <w:rFonts w:hint="eastAsia" w:ascii="宋体" w:hAnsi="宋体" w:cs="宋体"/>
          <w:color w:val="3E3E3E"/>
          <w:kern w:val="0"/>
          <w:sz w:val="32"/>
          <w:szCs w:val="32"/>
        </w:rPr>
        <w:t>　</w:t>
      </w:r>
      <w:r>
        <w:rPr>
          <w:rFonts w:ascii="宋体" w:hAnsi="宋体" w:cs="宋体"/>
          <w:color w:val="3E3E3E"/>
          <w:kern w:val="0"/>
          <w:sz w:val="32"/>
          <w:szCs w:val="32"/>
        </w:rPr>
        <w:pict>
          <v:shape id="_x0000_i1028" o:spt="75" type="#_x0000_t75" style="height:208.6pt;width:414.95pt;" filled="f" o:preferrelative="t" stroked="f" coordsize="21600,21600">
            <v:path/>
            <v:fill on="f" focussize="0,0"/>
            <v:stroke on="f" joinstyle="miter"/>
            <v:imagedata r:id="rId8" o:title=""/>
            <o:lock v:ext="edit" aspectratio="t"/>
            <w10:wrap type="none"/>
            <w10:anchorlock/>
          </v:shape>
        </w:pict>
      </w:r>
    </w:p>
    <w:tbl>
      <w:tblPr>
        <w:tblStyle w:val="6"/>
        <w:tblW w:w="8379" w:type="dxa"/>
        <w:tblInd w:w="-106" w:type="dxa"/>
        <w:tblLayout w:type="fixed"/>
        <w:tblCellMar>
          <w:top w:w="0" w:type="dxa"/>
          <w:left w:w="108" w:type="dxa"/>
          <w:bottom w:w="0" w:type="dxa"/>
          <w:right w:w="108" w:type="dxa"/>
        </w:tblCellMar>
      </w:tblPr>
      <w:tblGrid>
        <w:gridCol w:w="2380"/>
        <w:gridCol w:w="1140"/>
        <w:gridCol w:w="2480"/>
        <w:gridCol w:w="2379"/>
      </w:tblGrid>
      <w:tr>
        <w:tblPrEx>
          <w:tblCellMar>
            <w:top w:w="0" w:type="dxa"/>
            <w:left w:w="108" w:type="dxa"/>
            <w:bottom w:w="0" w:type="dxa"/>
            <w:right w:w="108" w:type="dxa"/>
          </w:tblCellMar>
        </w:tblPrEx>
        <w:trPr>
          <w:trHeight w:val="559" w:hRule="atLeast"/>
        </w:trPr>
        <w:tc>
          <w:tcPr>
            <w:tcW w:w="2380" w:type="dxa"/>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6</w:t>
            </w:r>
          </w:p>
        </w:tc>
        <w:tc>
          <w:tcPr>
            <w:tcW w:w="114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4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379" w:type="dxa"/>
            <w:tcBorders>
              <w:top w:val="nil"/>
              <w:left w:val="nil"/>
              <w:bottom w:val="nil"/>
              <w:right w:val="nil"/>
            </w:tcBorders>
            <w:vAlign w:val="bottom"/>
          </w:tcPr>
          <w:p>
            <w:pPr>
              <w:widowControl/>
              <w:jc w:val="left"/>
              <w:rPr>
                <w:rFonts w:ascii="Arial" w:hAnsi="Arial" w:cs="Arial"/>
                <w:color w:val="000000"/>
                <w:kern w:val="0"/>
                <w:sz w:val="20"/>
                <w:szCs w:val="20"/>
              </w:rPr>
            </w:pPr>
          </w:p>
        </w:tc>
      </w:tr>
    </w:tbl>
    <w:p>
      <w:pPr>
        <w:widowControl/>
        <w:spacing w:before="100" w:beforeAutospacing="1" w:after="100" w:afterAutospacing="1" w:line="360" w:lineRule="auto"/>
        <w:jc w:val="left"/>
        <w:rPr>
          <w:rFonts w:ascii="宋体" w:cs="Times New Roman"/>
          <w:color w:val="3E3E3E"/>
          <w:kern w:val="0"/>
          <w:sz w:val="32"/>
          <w:szCs w:val="32"/>
        </w:rPr>
      </w:pPr>
      <w:r>
        <w:rPr>
          <w:rFonts w:ascii="宋体" w:cs="Times New Roman"/>
          <w:color w:val="3E3E3E"/>
          <w:kern w:val="0"/>
          <w:sz w:val="32"/>
          <w:szCs w:val="32"/>
        </w:rPr>
        <w:pict>
          <v:shape id="_x0000_i1029" o:spt="75" type="#_x0000_t75" style="height:242pt;width:414.95pt;" filled="f" o:preferrelative="t" stroked="f" coordsize="21600,21600">
            <v:path/>
            <v:fill on="f" focussize="0,0"/>
            <v:stroke on="f" joinstyle="miter"/>
            <v:imagedata r:id="rId9" o:title=""/>
            <o:lock v:ext="edit" aspectratio="t"/>
            <w10:wrap type="none"/>
            <w10:anchorlock/>
          </v:shape>
        </w:pict>
      </w: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"http://www.ccgxj.gov.cn/xxgkml/cwgk/201604/W020160405536939530065.xls" </w:instrText>
      </w:r>
      <w:r>
        <w:fldChar w:fldCharType="separate"/>
      </w:r>
      <w:r>
        <w:rPr>
          <w:rFonts w:ascii="宋体" w:hAnsi="宋体" w:cs="宋体"/>
          <w:color w:val="3E3E3E"/>
          <w:kern w:val="0"/>
          <w:sz w:val="32"/>
          <w:szCs w:val="32"/>
        </w:rPr>
        <w:t>7.</w:t>
      </w:r>
      <w:r>
        <w:rPr>
          <w:rFonts w:hint="eastAsia" w:ascii="宋体" w:hAnsi="宋体" w:cs="宋体"/>
          <w:color w:val="3E3E3E"/>
          <w:kern w:val="0"/>
          <w:sz w:val="32"/>
          <w:szCs w:val="32"/>
        </w:rPr>
        <w:t>2022年部门收入总表表</w:t>
      </w:r>
      <w:r>
        <w:rPr>
          <w:rFonts w:hint="eastAsia" w:ascii="宋体" w:hAnsi="宋体" w:cs="宋体"/>
          <w:color w:val="3E3E3E"/>
          <w:kern w:val="0"/>
          <w:sz w:val="32"/>
          <w:szCs w:val="32"/>
        </w:rPr>
        <w:fldChar w:fldCharType="end"/>
      </w:r>
    </w:p>
    <w:tbl>
      <w:tblPr>
        <w:tblStyle w:val="6"/>
        <w:tblW w:w="9515" w:type="dxa"/>
        <w:tblInd w:w="-106" w:type="dxa"/>
        <w:tblLayout w:type="fixed"/>
        <w:tblCellMar>
          <w:top w:w="0" w:type="dxa"/>
          <w:left w:w="108" w:type="dxa"/>
          <w:bottom w:w="0" w:type="dxa"/>
          <w:right w:w="108" w:type="dxa"/>
        </w:tblCellMar>
      </w:tblPr>
      <w:tblGrid>
        <w:gridCol w:w="4102"/>
        <w:gridCol w:w="636"/>
        <w:gridCol w:w="636"/>
        <w:gridCol w:w="576"/>
        <w:gridCol w:w="516"/>
        <w:gridCol w:w="391"/>
        <w:gridCol w:w="457"/>
        <w:gridCol w:w="337"/>
        <w:gridCol w:w="516"/>
        <w:gridCol w:w="337"/>
        <w:gridCol w:w="337"/>
        <w:gridCol w:w="337"/>
        <w:gridCol w:w="337"/>
      </w:tblGrid>
      <w:tr>
        <w:tblPrEx>
          <w:tblCellMar>
            <w:top w:w="0" w:type="dxa"/>
            <w:left w:w="108" w:type="dxa"/>
            <w:bottom w:w="0" w:type="dxa"/>
            <w:right w:w="108" w:type="dxa"/>
          </w:tblCellMar>
        </w:tblPrEx>
        <w:trPr>
          <w:trHeight w:val="255" w:hRule="atLeast"/>
        </w:trPr>
        <w:tc>
          <w:tcPr>
            <w:tcW w:w="4102" w:type="dxa"/>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7</w:t>
            </w:r>
          </w:p>
        </w:tc>
        <w:tc>
          <w:tcPr>
            <w:tcW w:w="636" w:type="dxa"/>
            <w:tcBorders>
              <w:top w:val="nil"/>
              <w:left w:val="nil"/>
              <w:bottom w:val="nil"/>
              <w:right w:val="nil"/>
            </w:tcBorders>
            <w:vAlign w:val="bottom"/>
          </w:tcPr>
          <w:p>
            <w:pPr>
              <w:widowControl/>
              <w:jc w:val="left"/>
              <w:rPr>
                <w:rFonts w:ascii="宋体" w:cs="Times New Roman"/>
                <w:kern w:val="0"/>
                <w:sz w:val="20"/>
                <w:szCs w:val="20"/>
              </w:rPr>
            </w:pPr>
          </w:p>
        </w:tc>
        <w:tc>
          <w:tcPr>
            <w:tcW w:w="636" w:type="dxa"/>
            <w:tcBorders>
              <w:top w:val="nil"/>
              <w:left w:val="nil"/>
              <w:bottom w:val="nil"/>
              <w:right w:val="nil"/>
            </w:tcBorders>
            <w:vAlign w:val="bottom"/>
          </w:tcPr>
          <w:p>
            <w:pPr>
              <w:widowControl/>
              <w:jc w:val="left"/>
              <w:rPr>
                <w:rFonts w:ascii="宋体" w:cs="Times New Roman"/>
                <w:kern w:val="0"/>
                <w:sz w:val="20"/>
                <w:szCs w:val="20"/>
              </w:rPr>
            </w:pPr>
          </w:p>
        </w:tc>
        <w:tc>
          <w:tcPr>
            <w:tcW w:w="576" w:type="dxa"/>
            <w:tcBorders>
              <w:top w:val="nil"/>
              <w:left w:val="nil"/>
              <w:bottom w:val="nil"/>
              <w:right w:val="nil"/>
            </w:tcBorders>
            <w:vAlign w:val="bottom"/>
          </w:tcPr>
          <w:p>
            <w:pPr>
              <w:widowControl/>
              <w:jc w:val="left"/>
              <w:rPr>
                <w:rFonts w:ascii="宋体" w:cs="Times New Roman"/>
                <w:kern w:val="0"/>
                <w:sz w:val="20"/>
                <w:szCs w:val="20"/>
              </w:rPr>
            </w:pPr>
          </w:p>
        </w:tc>
        <w:tc>
          <w:tcPr>
            <w:tcW w:w="516" w:type="dxa"/>
            <w:tcBorders>
              <w:top w:val="nil"/>
              <w:left w:val="nil"/>
              <w:bottom w:val="nil"/>
              <w:right w:val="nil"/>
            </w:tcBorders>
            <w:vAlign w:val="bottom"/>
          </w:tcPr>
          <w:p>
            <w:pPr>
              <w:widowControl/>
              <w:jc w:val="left"/>
              <w:rPr>
                <w:rFonts w:ascii="宋体" w:cs="Times New Roman"/>
                <w:kern w:val="0"/>
                <w:sz w:val="20"/>
                <w:szCs w:val="20"/>
              </w:rPr>
            </w:pPr>
          </w:p>
        </w:tc>
        <w:tc>
          <w:tcPr>
            <w:tcW w:w="391" w:type="dxa"/>
            <w:tcBorders>
              <w:top w:val="nil"/>
              <w:left w:val="nil"/>
              <w:bottom w:val="nil"/>
              <w:right w:val="nil"/>
            </w:tcBorders>
            <w:vAlign w:val="bottom"/>
          </w:tcPr>
          <w:p>
            <w:pPr>
              <w:widowControl/>
              <w:jc w:val="left"/>
              <w:rPr>
                <w:rFonts w:ascii="宋体" w:cs="Times New Roman"/>
                <w:kern w:val="0"/>
                <w:sz w:val="20"/>
                <w:szCs w:val="20"/>
              </w:rPr>
            </w:pPr>
          </w:p>
        </w:tc>
        <w:tc>
          <w:tcPr>
            <w:tcW w:w="45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516"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bl>
    <w:p>
      <w:pPr>
        <w:spacing w:line="360" w:lineRule="auto"/>
        <w:ind w:firstLine="360"/>
        <w:jc w:val="left"/>
        <w:rPr>
          <w:rFonts w:ascii="宋体" w:cs="Times New Roman"/>
          <w:color w:val="3E3E3E"/>
          <w:kern w:val="0"/>
          <w:sz w:val="32"/>
          <w:szCs w:val="32"/>
        </w:rPr>
      </w:pPr>
      <w:r>
        <w:rPr>
          <w:rFonts w:ascii="宋体" w:cs="Times New Roman"/>
          <w:color w:val="3E3E3E"/>
          <w:kern w:val="0"/>
          <w:sz w:val="32"/>
          <w:szCs w:val="32"/>
        </w:rPr>
        <w:pict>
          <v:shape id="_x0000_i1030" o:spt="75" type="#_x0000_t75" style="height:215.25pt;width:414.95pt;" filled="f" o:preferrelative="t" stroked="f" coordsize="21600,21600">
            <v:path/>
            <v:fill on="f" focussize="0,0"/>
            <v:stroke on="f" joinstyle="miter"/>
            <v:imagedata r:id="rId10" o:title=""/>
            <o:lock v:ext="edit" aspectratio="t"/>
            <w10:wrap type="none"/>
            <w10:anchorlock/>
          </v:shape>
        </w:pict>
      </w:r>
    </w:p>
    <w:p>
      <w:pPr>
        <w:spacing w:line="360" w:lineRule="auto"/>
        <w:ind w:firstLine="360"/>
        <w:jc w:val="left"/>
        <w:rPr>
          <w:rFonts w:ascii="宋体" w:cs="Times New Roman"/>
          <w:color w:val="3E3E3E"/>
          <w:kern w:val="0"/>
          <w:sz w:val="32"/>
          <w:szCs w:val="32"/>
        </w:rPr>
      </w:pPr>
      <w:r>
        <w:fldChar w:fldCharType="begin"/>
      </w:r>
      <w:r>
        <w:instrText xml:space="preserve"> HYPERLINK "http://www.ccgxj.gov.cn/xxgkml/cwgk/201604/W020160405536939687469.xls" </w:instrText>
      </w:r>
      <w:r>
        <w:fldChar w:fldCharType="separate"/>
      </w:r>
      <w:r>
        <w:rPr>
          <w:rFonts w:ascii="宋体" w:hAnsi="宋体" w:cs="宋体"/>
          <w:color w:val="3E3E3E"/>
          <w:kern w:val="0"/>
          <w:sz w:val="32"/>
          <w:szCs w:val="32"/>
        </w:rPr>
        <w:t>8.</w:t>
      </w:r>
      <w:r>
        <w:rPr>
          <w:rFonts w:hint="eastAsia" w:ascii="宋体" w:hAnsi="宋体" w:cs="宋体"/>
          <w:color w:val="3E3E3E"/>
          <w:kern w:val="0"/>
          <w:sz w:val="32"/>
          <w:szCs w:val="32"/>
        </w:rPr>
        <w:t>2022部门支出总表表</w:t>
      </w:r>
      <w:r>
        <w:rPr>
          <w:rFonts w:hint="eastAsia" w:ascii="宋体" w:hAnsi="宋体" w:cs="宋体"/>
          <w:color w:val="3E3E3E"/>
          <w:kern w:val="0"/>
          <w:sz w:val="32"/>
          <w:szCs w:val="32"/>
        </w:rPr>
        <w:fldChar w:fldCharType="end"/>
      </w:r>
    </w:p>
    <w:tbl>
      <w:tblPr>
        <w:tblStyle w:val="6"/>
        <w:tblW w:w="8380" w:type="dxa"/>
        <w:tblInd w:w="-106" w:type="dxa"/>
        <w:tblLayout w:type="fixed"/>
        <w:tblCellMar>
          <w:top w:w="0" w:type="dxa"/>
          <w:left w:w="108" w:type="dxa"/>
          <w:bottom w:w="0" w:type="dxa"/>
          <w:right w:w="108" w:type="dxa"/>
        </w:tblCellMar>
      </w:tblPr>
      <w:tblGrid>
        <w:gridCol w:w="3100"/>
        <w:gridCol w:w="880"/>
        <w:gridCol w:w="880"/>
        <w:gridCol w:w="880"/>
        <w:gridCol w:w="880"/>
        <w:gridCol w:w="880"/>
        <w:gridCol w:w="880"/>
      </w:tblGrid>
      <w:tr>
        <w:tblPrEx>
          <w:tblCellMar>
            <w:top w:w="0" w:type="dxa"/>
            <w:left w:w="108" w:type="dxa"/>
            <w:bottom w:w="0" w:type="dxa"/>
            <w:right w:w="108" w:type="dxa"/>
          </w:tblCellMar>
        </w:tblPrEx>
        <w:trPr>
          <w:trHeight w:val="255" w:hRule="atLeast"/>
        </w:trPr>
        <w:tc>
          <w:tcPr>
            <w:tcW w:w="3100" w:type="dxa"/>
            <w:tcBorders>
              <w:top w:val="nil"/>
              <w:left w:val="nil"/>
              <w:bottom w:val="nil"/>
              <w:right w:val="nil"/>
            </w:tcBorders>
            <w:vAlign w:val="bottom"/>
          </w:tcPr>
          <w:p>
            <w:pPr>
              <w:widowControl/>
              <w:jc w:val="left"/>
              <w:rPr>
                <w:rFonts w:ascii="宋体" w:hAnsi="宋体" w:cs="宋体"/>
                <w:kern w:val="0"/>
                <w:sz w:val="20"/>
                <w:szCs w:val="20"/>
              </w:rPr>
            </w:pPr>
          </w:p>
          <w:p>
            <w:pPr>
              <w:widowControl/>
              <w:jc w:val="left"/>
              <w:rPr>
                <w:rFonts w:ascii="宋体" w:hAnsi="宋体" w:cs="宋体"/>
                <w:kern w:val="0"/>
                <w:sz w:val="20"/>
                <w:szCs w:val="20"/>
              </w:rPr>
            </w:pPr>
            <w:r>
              <w:pict>
                <v:shape id="_x0000_s2051" o:spid="_x0000_s2051" o:spt="75" type="#_x0000_t75" style="position:absolute;left:0pt;margin-left:10.7pt;margin-top:1.6pt;height:271.8pt;width:421.4pt;z-index:251659264;mso-width-relative:page;mso-height-relative:page;" filled="f" o:preferrelative="t" stroked="f" coordsize="21600,21600">
                  <v:path/>
                  <v:fill on="f" focussize="0,0"/>
                  <v:stroke on="f" joinstyle="miter"/>
                  <v:imagedata r:id="rId11" o:title=""/>
                  <o:lock v:ext="edit" aspectratio="t"/>
                </v:shape>
              </w:pict>
            </w:r>
          </w:p>
          <w:p>
            <w:pPr>
              <w:widowControl/>
              <w:jc w:val="left"/>
              <w:rPr>
                <w:rFonts w:ascii="宋体" w:hAnsi="宋体" w:cs="宋体"/>
                <w:kern w:val="0"/>
                <w:sz w:val="20"/>
                <w:szCs w:val="20"/>
              </w:rPr>
            </w:pPr>
          </w:p>
          <w:p>
            <w:pPr>
              <w:widowControl/>
              <w:jc w:val="left"/>
              <w:rPr>
                <w:rFonts w:ascii="宋体" w:hAnsi="宋体" w:cs="宋体"/>
                <w:kern w:val="0"/>
                <w:sz w:val="20"/>
                <w:szCs w:val="20"/>
              </w:rPr>
            </w:pPr>
          </w:p>
          <w:p>
            <w:pPr>
              <w:widowControl/>
              <w:jc w:val="left"/>
              <w:rPr>
                <w:rFonts w:ascii="宋体" w:hAnsi="宋体" w:cs="宋体"/>
                <w:kern w:val="0"/>
                <w:sz w:val="20"/>
                <w:szCs w:val="20"/>
              </w:rPr>
            </w:pPr>
          </w:p>
          <w:p>
            <w:pPr>
              <w:widowControl/>
              <w:jc w:val="left"/>
              <w:rPr>
                <w:rFonts w:ascii="宋体" w:hAnsi="宋体" w:cs="宋体"/>
                <w:kern w:val="0"/>
                <w:sz w:val="20"/>
                <w:szCs w:val="20"/>
              </w:rPr>
            </w:pPr>
          </w:p>
          <w:p>
            <w:pPr>
              <w:widowControl/>
              <w:jc w:val="left"/>
              <w:rPr>
                <w:rFonts w:ascii="宋体" w:hAnsi="宋体" w:cs="宋体"/>
                <w:kern w:val="0"/>
                <w:sz w:val="20"/>
                <w:szCs w:val="20"/>
              </w:rPr>
            </w:pPr>
          </w:p>
          <w:p>
            <w:pPr>
              <w:widowControl/>
              <w:jc w:val="left"/>
              <w:rPr>
                <w:rFonts w:ascii="宋体" w:hAnsi="宋体" w:cs="宋体"/>
                <w:kern w:val="0"/>
                <w:sz w:val="20"/>
                <w:szCs w:val="20"/>
              </w:rPr>
            </w:pPr>
          </w:p>
          <w:p>
            <w:pPr>
              <w:widowControl/>
              <w:jc w:val="left"/>
              <w:rPr>
                <w:rFonts w:ascii="宋体" w:hAnsi="宋体" w:cs="宋体"/>
                <w:kern w:val="0"/>
                <w:sz w:val="20"/>
                <w:szCs w:val="20"/>
              </w:rPr>
            </w:pPr>
          </w:p>
          <w:p>
            <w:pPr>
              <w:widowControl/>
              <w:jc w:val="left"/>
              <w:rPr>
                <w:rFonts w:ascii="宋体" w:hAnsi="宋体" w:cs="宋体"/>
                <w:kern w:val="0"/>
                <w:sz w:val="20"/>
                <w:szCs w:val="20"/>
              </w:rPr>
            </w:pPr>
          </w:p>
          <w:p>
            <w:pPr>
              <w:widowControl/>
              <w:jc w:val="left"/>
              <w:rPr>
                <w:rFonts w:ascii="宋体" w:hAnsi="宋体" w:cs="宋体"/>
                <w:kern w:val="0"/>
                <w:sz w:val="20"/>
                <w:szCs w:val="20"/>
              </w:rPr>
            </w:pPr>
          </w:p>
          <w:p>
            <w:pPr>
              <w:widowControl/>
              <w:jc w:val="left"/>
              <w:rPr>
                <w:rFonts w:ascii="宋体" w:hAnsi="宋体" w:cs="宋体"/>
                <w:kern w:val="0"/>
                <w:sz w:val="20"/>
                <w:szCs w:val="20"/>
              </w:rPr>
            </w:pPr>
          </w:p>
          <w:p>
            <w:pPr>
              <w:widowControl/>
              <w:jc w:val="left"/>
              <w:rPr>
                <w:rFonts w:ascii="宋体" w:hAnsi="宋体" w:cs="宋体"/>
                <w:kern w:val="0"/>
                <w:sz w:val="20"/>
                <w:szCs w:val="20"/>
              </w:rPr>
            </w:pPr>
          </w:p>
          <w:p>
            <w:pPr>
              <w:widowControl/>
              <w:jc w:val="left"/>
              <w:rPr>
                <w:rFonts w:ascii="宋体" w:hAnsi="宋体" w:cs="宋体"/>
                <w:kern w:val="0"/>
                <w:sz w:val="20"/>
                <w:szCs w:val="20"/>
              </w:rPr>
            </w:pPr>
          </w:p>
          <w:p>
            <w:pPr>
              <w:widowControl/>
              <w:jc w:val="left"/>
              <w:rPr>
                <w:rFonts w:ascii="宋体" w:hAnsi="宋体" w:cs="宋体"/>
                <w:kern w:val="0"/>
                <w:sz w:val="20"/>
                <w:szCs w:val="20"/>
              </w:rPr>
            </w:pPr>
          </w:p>
          <w:p>
            <w:pPr>
              <w:widowControl/>
              <w:jc w:val="left"/>
              <w:rPr>
                <w:rFonts w:ascii="宋体" w:hAnsi="宋体" w:cs="宋体"/>
                <w:kern w:val="0"/>
                <w:sz w:val="20"/>
                <w:szCs w:val="20"/>
              </w:rPr>
            </w:pPr>
          </w:p>
          <w:p>
            <w:pPr>
              <w:widowControl/>
              <w:jc w:val="left"/>
              <w:rPr>
                <w:rFonts w:ascii="宋体" w:hAnsi="宋体" w:cs="宋体"/>
                <w:kern w:val="0"/>
                <w:sz w:val="20"/>
                <w:szCs w:val="20"/>
              </w:rPr>
            </w:pPr>
          </w:p>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bl>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黑体" w:hAnsi="黑体" w:eastAsia="黑体" w:cs="黑体"/>
          <w:sz w:val="32"/>
          <w:szCs w:val="32"/>
        </w:rPr>
        <w:t>第三部分2022年度部门预算情况说明</w:t>
      </w:r>
    </w:p>
    <w:p>
      <w:pPr>
        <w:widowControl/>
        <w:spacing w:line="360" w:lineRule="auto"/>
        <w:ind w:firstLine="643" w:firstLineChars="200"/>
        <w:jc w:val="left"/>
        <w:rPr>
          <w:rFonts w:ascii="宋体" w:cs="Times New Roman"/>
          <w:b/>
          <w:bCs/>
          <w:kern w:val="0"/>
          <w:sz w:val="32"/>
          <w:szCs w:val="32"/>
        </w:rPr>
      </w:pPr>
      <w:r>
        <w:rPr>
          <w:rFonts w:hint="eastAsia" w:ascii="宋体" w:hAnsi="宋体" w:cs="宋体"/>
          <w:b/>
          <w:bCs/>
          <w:kern w:val="0"/>
          <w:sz w:val="32"/>
          <w:szCs w:val="32"/>
        </w:rPr>
        <w:t>一、</w:t>
      </w:r>
      <w:r>
        <w:rPr>
          <w:rFonts w:ascii="宋体" w:hAnsi="宋体" w:cs="宋体"/>
          <w:b/>
          <w:bCs/>
          <w:kern w:val="0"/>
          <w:sz w:val="32"/>
          <w:szCs w:val="32"/>
        </w:rPr>
        <w:t>20</w:t>
      </w:r>
      <w:r>
        <w:rPr>
          <w:rFonts w:hint="eastAsia" w:ascii="宋体" w:hAnsi="宋体" w:cs="宋体"/>
          <w:b/>
          <w:bCs/>
          <w:kern w:val="0"/>
          <w:sz w:val="32"/>
          <w:szCs w:val="32"/>
        </w:rPr>
        <w:t>22年财政拨款收支说明</w:t>
      </w:r>
    </w:p>
    <w:p>
      <w:pPr>
        <w:widowControl/>
        <w:spacing w:line="360" w:lineRule="auto"/>
        <w:jc w:val="left"/>
        <w:rPr>
          <w:rFonts w:ascii="仿宋_GB2312" w:eastAsia="仿宋_GB2312" w:cs="宋体"/>
          <w:kern w:val="0"/>
          <w:sz w:val="32"/>
          <w:szCs w:val="32"/>
        </w:rPr>
      </w:pPr>
      <w:r>
        <w:rPr>
          <w:rFonts w:ascii="仿宋_GB2312" w:hAnsi="宋体" w:eastAsia="仿宋_GB2312" w:cs="宋体"/>
          <w:kern w:val="0"/>
          <w:sz w:val="32"/>
          <w:szCs w:val="32"/>
        </w:rPr>
        <w:t xml:space="preserve">    20</w:t>
      </w:r>
      <w:r>
        <w:rPr>
          <w:rFonts w:hint="eastAsia" w:ascii="仿宋_GB2312" w:hAnsi="宋体" w:eastAsia="仿宋_GB2312" w:cs="宋体"/>
          <w:kern w:val="0"/>
          <w:sz w:val="32"/>
          <w:szCs w:val="32"/>
        </w:rPr>
        <w:t>22年财政拨款89.71万元</w:t>
      </w:r>
      <w:r>
        <w:rPr>
          <w:rFonts w:hint="eastAsia" w:ascii="仿宋_GB2312" w:eastAsia="仿宋_GB2312" w:cs="宋体"/>
          <w:kern w:val="0"/>
          <w:sz w:val="32"/>
          <w:szCs w:val="32"/>
        </w:rPr>
        <w:t>。</w:t>
      </w:r>
    </w:p>
    <w:p>
      <w:pPr>
        <w:widowControl/>
        <w:spacing w:line="360" w:lineRule="auto"/>
        <w:jc w:val="left"/>
        <w:rPr>
          <w:rFonts w:ascii="仿宋_GB2312" w:eastAsia="仿宋_GB2312" w:cs="Times New Roman"/>
          <w:kern w:val="0"/>
          <w:sz w:val="32"/>
          <w:szCs w:val="32"/>
        </w:rPr>
      </w:pPr>
      <w:r>
        <w:rPr>
          <w:rFonts w:hint="eastAsia" w:ascii="仿宋_GB2312" w:hAnsi="宋体" w:eastAsia="仿宋_GB2312" w:cs="宋体"/>
          <w:kern w:val="0"/>
          <w:sz w:val="32"/>
          <w:szCs w:val="32"/>
        </w:rPr>
        <w:t>　　</w:t>
      </w:r>
      <w:r>
        <w:rPr>
          <w:rFonts w:ascii="仿宋_GB2312" w:hAnsi="宋体" w:eastAsia="仿宋_GB2312" w:cs="宋体"/>
          <w:kern w:val="0"/>
          <w:sz w:val="32"/>
          <w:szCs w:val="32"/>
        </w:rPr>
        <w:t>20</w:t>
      </w:r>
      <w:r>
        <w:rPr>
          <w:rFonts w:hint="eastAsia" w:ascii="仿宋_GB2312" w:hAnsi="宋体" w:eastAsia="仿宋_GB2312" w:cs="宋体"/>
          <w:kern w:val="0"/>
          <w:sz w:val="32"/>
          <w:szCs w:val="32"/>
        </w:rPr>
        <w:t>22年财政预算支出89.71万元，其中，基本支出36.65万元，项目支出53.06万元。</w:t>
      </w:r>
    </w:p>
    <w:p>
      <w:pPr>
        <w:widowControl/>
        <w:spacing w:line="360" w:lineRule="auto"/>
        <w:ind w:firstLine="643" w:firstLineChars="200"/>
        <w:jc w:val="left"/>
        <w:rPr>
          <w:rFonts w:ascii="宋体" w:hAnsi="宋体" w:cs="宋体"/>
          <w:b/>
          <w:bCs/>
          <w:kern w:val="0"/>
          <w:sz w:val="32"/>
          <w:szCs w:val="32"/>
        </w:rPr>
      </w:pPr>
      <w:r>
        <w:rPr>
          <w:rFonts w:hint="eastAsia" w:ascii="宋体" w:hAnsi="宋体" w:cs="宋体"/>
          <w:b/>
          <w:bCs/>
          <w:kern w:val="0"/>
          <w:sz w:val="32"/>
          <w:szCs w:val="32"/>
        </w:rPr>
        <w:t>二、一般公共预算支出表说明</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人员经费支出30.71万元</w:t>
      </w:r>
      <w:r>
        <w:rPr>
          <w:rFonts w:ascii="仿宋_GB2312" w:hAnsi="宋体" w:eastAsia="仿宋_GB2312" w:cs="宋体"/>
          <w:kern w:val="0"/>
          <w:sz w:val="32"/>
          <w:szCs w:val="32"/>
        </w:rPr>
        <w:t>,</w:t>
      </w:r>
      <w:r>
        <w:rPr>
          <w:rFonts w:hint="eastAsia" w:ascii="仿宋_GB2312" w:hAnsi="宋体" w:eastAsia="仿宋_GB2312" w:cs="宋体"/>
          <w:kern w:val="0"/>
          <w:sz w:val="32"/>
          <w:szCs w:val="32"/>
        </w:rPr>
        <w:t>公用经费支出5.94万元</w:t>
      </w:r>
      <w:r>
        <w:rPr>
          <w:rFonts w:ascii="仿宋_GB2312" w:hAnsi="宋体" w:eastAsia="仿宋_GB2312" w:cs="宋体"/>
          <w:kern w:val="0"/>
          <w:sz w:val="32"/>
          <w:szCs w:val="32"/>
        </w:rPr>
        <w:t>,</w:t>
      </w:r>
      <w:r>
        <w:rPr>
          <w:rFonts w:hint="eastAsia" w:ascii="仿宋_GB2312" w:hAnsi="宋体" w:eastAsia="仿宋_GB2312" w:cs="宋体"/>
          <w:kern w:val="0"/>
          <w:sz w:val="32"/>
          <w:szCs w:val="32"/>
        </w:rPr>
        <w:t>项目支出53.06万元。</w:t>
      </w:r>
    </w:p>
    <w:p>
      <w:pPr>
        <w:widowControl/>
        <w:spacing w:line="360" w:lineRule="auto"/>
        <w:ind w:firstLine="643" w:firstLineChars="200"/>
        <w:jc w:val="left"/>
        <w:rPr>
          <w:rFonts w:ascii="宋体" w:hAnsi="宋体" w:cs="宋体"/>
          <w:b/>
          <w:bCs/>
          <w:kern w:val="0"/>
          <w:sz w:val="32"/>
          <w:szCs w:val="32"/>
        </w:rPr>
      </w:pPr>
      <w:r>
        <w:rPr>
          <w:rFonts w:hint="eastAsia" w:ascii="宋体" w:hAnsi="宋体" w:cs="宋体"/>
          <w:b/>
          <w:bCs/>
          <w:kern w:val="0"/>
          <w:sz w:val="32"/>
          <w:szCs w:val="32"/>
        </w:rPr>
        <w:t>三、一般公共预算基本支出情况说明</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工资福利支出30.71万元；人均经费1.41万元；车改补贴</w:t>
      </w:r>
      <w:r>
        <w:rPr>
          <w:rFonts w:ascii="仿宋_GB2312" w:hAnsi="宋体" w:eastAsia="仿宋_GB2312" w:cs="宋体"/>
          <w:kern w:val="0"/>
          <w:sz w:val="32"/>
          <w:szCs w:val="32"/>
        </w:rPr>
        <w:t>4.</w:t>
      </w:r>
      <w:r>
        <w:rPr>
          <w:rFonts w:hint="eastAsia" w:ascii="仿宋_GB2312" w:hAnsi="宋体" w:eastAsia="仿宋_GB2312" w:cs="宋体"/>
          <w:kern w:val="0"/>
          <w:sz w:val="32"/>
          <w:szCs w:val="32"/>
        </w:rPr>
        <w:t>53万元。</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共计基本支出36.65万元。</w:t>
      </w:r>
    </w:p>
    <w:p>
      <w:pPr>
        <w:widowControl/>
        <w:spacing w:line="360" w:lineRule="auto"/>
        <w:ind w:firstLine="643" w:firstLineChars="200"/>
        <w:jc w:val="left"/>
        <w:rPr>
          <w:rFonts w:ascii="宋体" w:hAnsi="宋体" w:cs="宋体"/>
          <w:b/>
          <w:bCs/>
          <w:kern w:val="0"/>
          <w:sz w:val="32"/>
          <w:szCs w:val="32"/>
        </w:rPr>
      </w:pPr>
      <w:r>
        <w:rPr>
          <w:rFonts w:hint="eastAsia" w:ascii="宋体" w:hAnsi="宋体" w:cs="宋体"/>
          <w:b/>
          <w:bCs/>
          <w:kern w:val="0"/>
          <w:sz w:val="32"/>
          <w:szCs w:val="32"/>
        </w:rPr>
        <w:t>四、</w:t>
      </w:r>
      <w:r>
        <w:rPr>
          <w:rFonts w:ascii="宋体" w:hAnsi="宋体" w:cs="宋体"/>
          <w:b/>
          <w:bCs/>
          <w:kern w:val="0"/>
          <w:sz w:val="32"/>
          <w:szCs w:val="32"/>
        </w:rPr>
        <w:t>20</w:t>
      </w:r>
      <w:r>
        <w:rPr>
          <w:rFonts w:hint="eastAsia" w:ascii="宋体" w:hAnsi="宋体" w:cs="宋体"/>
          <w:b/>
          <w:bCs/>
          <w:kern w:val="0"/>
          <w:sz w:val="32"/>
          <w:szCs w:val="32"/>
        </w:rPr>
        <w:t>22年“三公”经费预算情况说明</w:t>
      </w:r>
    </w:p>
    <w:p>
      <w:pPr>
        <w:autoSpaceDE w:val="0"/>
        <w:autoSpaceDN w:val="0"/>
        <w:adjustRightInd w:val="0"/>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20</w:t>
      </w:r>
      <w:r>
        <w:rPr>
          <w:rFonts w:hint="eastAsia" w:ascii="仿宋_GB2312" w:hAnsi="宋体" w:eastAsia="仿宋_GB2312" w:cs="宋体"/>
          <w:kern w:val="0"/>
          <w:sz w:val="32"/>
          <w:szCs w:val="32"/>
        </w:rPr>
        <w:t>22年</w:t>
      </w:r>
      <w:r>
        <w:rPr>
          <w:rFonts w:hint="eastAsia" w:ascii="仿宋_GB2312" w:eastAsia="仿宋_GB2312" w:cs="宋体"/>
          <w:kern w:val="0"/>
          <w:sz w:val="32"/>
          <w:szCs w:val="32"/>
        </w:rPr>
        <w:t>“</w:t>
      </w:r>
      <w:r>
        <w:rPr>
          <w:rFonts w:hint="eastAsia" w:ascii="仿宋_GB2312" w:hAnsi="宋体" w:eastAsia="仿宋_GB2312" w:cs="宋体"/>
          <w:kern w:val="0"/>
          <w:sz w:val="32"/>
          <w:szCs w:val="32"/>
        </w:rPr>
        <w:t>三公</w:t>
      </w:r>
      <w:r>
        <w:rPr>
          <w:rFonts w:hint="eastAsia" w:ascii="仿宋_GB2312" w:eastAsia="仿宋_GB2312" w:cs="宋体"/>
          <w:kern w:val="0"/>
          <w:sz w:val="32"/>
          <w:szCs w:val="32"/>
        </w:rPr>
        <w:t>”</w:t>
      </w:r>
      <w:r>
        <w:rPr>
          <w:rFonts w:hint="eastAsia" w:ascii="仿宋_GB2312" w:hAnsi="宋体" w:eastAsia="仿宋_GB2312" w:cs="宋体"/>
          <w:kern w:val="0"/>
          <w:sz w:val="32"/>
          <w:szCs w:val="32"/>
        </w:rPr>
        <w:t>经费预算数</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p>
    <w:p>
      <w:pPr>
        <w:autoSpaceDE w:val="0"/>
        <w:autoSpaceDN w:val="0"/>
        <w:adjustRightIn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团区委近年来无“三公”经费预算支出。</w:t>
      </w:r>
    </w:p>
    <w:p>
      <w:pPr>
        <w:widowControl/>
        <w:spacing w:line="360" w:lineRule="auto"/>
        <w:ind w:firstLine="643" w:firstLineChars="200"/>
        <w:jc w:val="left"/>
        <w:rPr>
          <w:rFonts w:ascii="宋体" w:hAnsi="宋体" w:cs="宋体"/>
          <w:b/>
          <w:bCs/>
          <w:kern w:val="0"/>
          <w:sz w:val="32"/>
          <w:szCs w:val="32"/>
        </w:rPr>
      </w:pPr>
      <w:r>
        <w:rPr>
          <w:rFonts w:hint="eastAsia" w:ascii="宋体" w:hAnsi="宋体" w:cs="宋体"/>
          <w:b/>
          <w:bCs/>
          <w:kern w:val="0"/>
          <w:sz w:val="32"/>
          <w:szCs w:val="32"/>
        </w:rPr>
        <w:t>五、政府性基金预算说明</w:t>
      </w:r>
    </w:p>
    <w:p>
      <w:pPr>
        <w:autoSpaceDE w:val="0"/>
        <w:autoSpaceDN w:val="0"/>
        <w:adjustRightIn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团区委无政府性基金预算</w:t>
      </w:r>
    </w:p>
    <w:p>
      <w:pPr>
        <w:widowControl/>
        <w:spacing w:line="360" w:lineRule="auto"/>
        <w:ind w:firstLine="643" w:firstLineChars="200"/>
        <w:jc w:val="left"/>
        <w:rPr>
          <w:rFonts w:ascii="宋体" w:hAnsi="宋体" w:cs="宋体"/>
          <w:b/>
          <w:bCs/>
          <w:kern w:val="0"/>
          <w:sz w:val="32"/>
          <w:szCs w:val="32"/>
        </w:rPr>
      </w:pPr>
      <w:r>
        <w:rPr>
          <w:rFonts w:hint="eastAsia" w:ascii="宋体" w:hAnsi="宋体" w:cs="宋体"/>
          <w:b/>
          <w:bCs/>
          <w:kern w:val="0"/>
          <w:sz w:val="32"/>
          <w:szCs w:val="32"/>
        </w:rPr>
        <w:t>六、部门收支表说明</w:t>
      </w:r>
    </w:p>
    <w:p>
      <w:pPr>
        <w:autoSpaceDE w:val="0"/>
        <w:autoSpaceDN w:val="0"/>
        <w:adjustRightIn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团区委</w:t>
      </w:r>
      <w:r>
        <w:rPr>
          <w:rFonts w:ascii="仿宋_GB2312" w:hAnsi="宋体" w:eastAsia="仿宋_GB2312" w:cs="宋体"/>
          <w:kern w:val="0"/>
          <w:sz w:val="32"/>
          <w:szCs w:val="32"/>
        </w:rPr>
        <w:t>20</w:t>
      </w:r>
      <w:r>
        <w:rPr>
          <w:rFonts w:hint="eastAsia" w:ascii="仿宋_GB2312" w:hAnsi="宋体" w:eastAsia="仿宋_GB2312" w:cs="宋体"/>
          <w:kern w:val="0"/>
          <w:sz w:val="32"/>
          <w:szCs w:val="32"/>
        </w:rPr>
        <w:t>22总收入89.93万元，其中财政拨款89.71万元，上年结转0.22万元。</w:t>
      </w:r>
    </w:p>
    <w:p>
      <w:pPr>
        <w:autoSpaceDE w:val="0"/>
        <w:autoSpaceDN w:val="0"/>
        <w:adjustRightIn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一般公共服务支出89.93万元。</w:t>
      </w:r>
    </w:p>
    <w:p>
      <w:pPr>
        <w:widowControl/>
        <w:spacing w:line="360" w:lineRule="auto"/>
        <w:ind w:firstLine="643" w:firstLineChars="200"/>
        <w:jc w:val="left"/>
        <w:rPr>
          <w:rFonts w:ascii="宋体" w:hAnsi="宋体" w:cs="宋体"/>
          <w:b/>
          <w:bCs/>
          <w:kern w:val="0"/>
          <w:sz w:val="32"/>
          <w:szCs w:val="32"/>
        </w:rPr>
      </w:pPr>
      <w:r>
        <w:rPr>
          <w:rFonts w:hint="eastAsia" w:ascii="宋体" w:hAnsi="宋体" w:cs="宋体"/>
          <w:b/>
          <w:bCs/>
          <w:kern w:val="0"/>
          <w:sz w:val="32"/>
          <w:szCs w:val="32"/>
        </w:rPr>
        <w:t>七、部门收入总表情况</w:t>
      </w:r>
    </w:p>
    <w:p>
      <w:pPr>
        <w:autoSpaceDE w:val="0"/>
        <w:autoSpaceDN w:val="0"/>
        <w:adjustRightIn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团区委</w:t>
      </w:r>
      <w:r>
        <w:rPr>
          <w:rFonts w:ascii="仿宋_GB2312" w:hAnsi="宋体" w:eastAsia="仿宋_GB2312" w:cs="宋体"/>
          <w:kern w:val="0"/>
          <w:sz w:val="32"/>
          <w:szCs w:val="32"/>
        </w:rPr>
        <w:t>20</w:t>
      </w:r>
      <w:r>
        <w:rPr>
          <w:rFonts w:hint="eastAsia" w:ascii="仿宋_GB2312" w:hAnsi="宋体" w:eastAsia="仿宋_GB2312" w:cs="宋体"/>
          <w:kern w:val="0"/>
          <w:sz w:val="32"/>
          <w:szCs w:val="32"/>
        </w:rPr>
        <w:t>22总收入89.93万元，其中财政拨款89.71万元，上年结转0.22万元。</w:t>
      </w:r>
    </w:p>
    <w:p>
      <w:pPr>
        <w:widowControl/>
        <w:spacing w:line="360" w:lineRule="auto"/>
        <w:ind w:firstLine="643" w:firstLineChars="200"/>
        <w:jc w:val="left"/>
        <w:rPr>
          <w:rFonts w:ascii="宋体" w:hAnsi="宋体" w:cs="宋体"/>
          <w:b/>
          <w:bCs/>
          <w:kern w:val="0"/>
          <w:sz w:val="32"/>
          <w:szCs w:val="32"/>
        </w:rPr>
      </w:pPr>
      <w:r>
        <w:rPr>
          <w:rFonts w:hint="eastAsia" w:ascii="宋体" w:hAnsi="宋体" w:cs="宋体"/>
          <w:b/>
          <w:bCs/>
          <w:kern w:val="0"/>
          <w:sz w:val="32"/>
          <w:szCs w:val="32"/>
        </w:rPr>
        <w:t>八、部门支出总表情况</w:t>
      </w:r>
    </w:p>
    <w:p>
      <w:pPr>
        <w:autoSpaceDE w:val="0"/>
        <w:autoSpaceDN w:val="0"/>
        <w:adjustRightIn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按功能分类：一般公共服务支出89.93万元。</w:t>
      </w:r>
    </w:p>
    <w:p>
      <w:pPr>
        <w:autoSpaceDE w:val="0"/>
        <w:autoSpaceDN w:val="0"/>
        <w:adjustRightIn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科目分类：基本支出36.87万元，项目支出53.06万元。</w:t>
      </w:r>
    </w:p>
    <w:p>
      <w:pPr>
        <w:widowControl/>
        <w:spacing w:line="360" w:lineRule="auto"/>
        <w:ind w:firstLine="643" w:firstLineChars="200"/>
        <w:jc w:val="left"/>
        <w:rPr>
          <w:rFonts w:ascii="宋体" w:hAnsi="宋体" w:cs="宋体"/>
          <w:b/>
          <w:bCs/>
          <w:kern w:val="0"/>
          <w:sz w:val="32"/>
          <w:szCs w:val="32"/>
        </w:rPr>
      </w:pPr>
      <w:r>
        <w:rPr>
          <w:rFonts w:hint="eastAsia" w:ascii="宋体" w:hAnsi="宋体" w:cs="宋体"/>
          <w:b/>
          <w:bCs/>
          <w:kern w:val="0"/>
          <w:sz w:val="32"/>
          <w:szCs w:val="32"/>
        </w:rPr>
        <w:t>九、机关运行经费支出情况</w:t>
      </w:r>
    </w:p>
    <w:p>
      <w:pPr>
        <w:autoSpaceDE w:val="0"/>
        <w:autoSpaceDN w:val="0"/>
        <w:adjustRightInd w:val="0"/>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20</w:t>
      </w:r>
      <w:r>
        <w:rPr>
          <w:rFonts w:hint="eastAsia" w:ascii="仿宋_GB2312" w:hAnsi="宋体" w:eastAsia="仿宋_GB2312" w:cs="宋体"/>
          <w:kern w:val="0"/>
          <w:sz w:val="32"/>
          <w:szCs w:val="32"/>
        </w:rPr>
        <w:t>22年团区委的机关运行经费财政拨款支出1.41万元，其中办公费</w:t>
      </w:r>
      <w:r>
        <w:rPr>
          <w:rFonts w:ascii="仿宋_GB2312" w:hAnsi="宋体" w:eastAsia="仿宋_GB2312" w:cs="宋体"/>
          <w:kern w:val="0"/>
          <w:sz w:val="32"/>
          <w:szCs w:val="32"/>
        </w:rPr>
        <w:t>1</w:t>
      </w:r>
      <w:r>
        <w:rPr>
          <w:rFonts w:hint="eastAsia" w:ascii="仿宋_GB2312" w:hAnsi="宋体" w:eastAsia="仿宋_GB2312" w:cs="宋体"/>
          <w:kern w:val="0"/>
          <w:sz w:val="32"/>
          <w:szCs w:val="32"/>
        </w:rPr>
        <w:t>.41万元。</w:t>
      </w:r>
    </w:p>
    <w:p>
      <w:pPr>
        <w:widowControl/>
        <w:spacing w:line="360" w:lineRule="auto"/>
        <w:ind w:firstLine="643" w:firstLineChars="200"/>
        <w:jc w:val="left"/>
        <w:rPr>
          <w:rFonts w:ascii="宋体" w:hAnsi="宋体" w:cs="宋体"/>
          <w:b/>
          <w:bCs/>
          <w:kern w:val="0"/>
          <w:sz w:val="32"/>
          <w:szCs w:val="32"/>
        </w:rPr>
      </w:pPr>
      <w:r>
        <w:rPr>
          <w:rFonts w:hint="eastAsia" w:ascii="宋体" w:hAnsi="宋体" w:cs="宋体"/>
          <w:b/>
          <w:bCs/>
          <w:kern w:val="0"/>
          <w:sz w:val="32"/>
          <w:szCs w:val="32"/>
        </w:rPr>
        <w:t>十、政府采购支出情况</w:t>
      </w:r>
    </w:p>
    <w:p>
      <w:pPr>
        <w:autoSpaceDE w:val="0"/>
        <w:autoSpaceDN w:val="0"/>
        <w:adjustRightInd w:val="0"/>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20</w:t>
      </w:r>
      <w:r>
        <w:rPr>
          <w:rFonts w:hint="eastAsia" w:ascii="仿宋_GB2312" w:hAnsi="宋体" w:eastAsia="仿宋_GB2312" w:cs="宋体"/>
          <w:kern w:val="0"/>
          <w:sz w:val="32"/>
          <w:szCs w:val="32"/>
        </w:rPr>
        <w:t>22年团区委无政府采购项目预算。</w:t>
      </w:r>
    </w:p>
    <w:p>
      <w:pPr>
        <w:widowControl/>
        <w:spacing w:line="360" w:lineRule="auto"/>
        <w:ind w:firstLine="643" w:firstLineChars="200"/>
        <w:jc w:val="left"/>
        <w:rPr>
          <w:rFonts w:ascii="宋体" w:hAnsi="宋体" w:cs="宋体"/>
          <w:b/>
          <w:bCs/>
          <w:kern w:val="0"/>
          <w:sz w:val="32"/>
          <w:szCs w:val="32"/>
        </w:rPr>
      </w:pPr>
      <w:r>
        <w:rPr>
          <w:rFonts w:hint="eastAsia" w:ascii="宋体" w:hAnsi="宋体" w:cs="宋体"/>
          <w:b/>
          <w:bCs/>
          <w:kern w:val="0"/>
          <w:sz w:val="32"/>
          <w:szCs w:val="32"/>
        </w:rPr>
        <w:t>十一、国有资产占用情况</w:t>
      </w:r>
    </w:p>
    <w:p>
      <w:pPr>
        <w:autoSpaceDE w:val="0"/>
        <w:autoSpaceDN w:val="0"/>
        <w:adjustRightIn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团区委无国有资产占用情况</w:t>
      </w:r>
    </w:p>
    <w:p>
      <w:pPr>
        <w:widowControl/>
        <w:spacing w:line="360" w:lineRule="auto"/>
        <w:ind w:firstLine="643" w:firstLineChars="200"/>
        <w:jc w:val="left"/>
        <w:rPr>
          <w:rFonts w:ascii="宋体" w:hAnsi="宋体" w:cs="宋体"/>
          <w:b/>
          <w:bCs/>
          <w:kern w:val="0"/>
          <w:sz w:val="32"/>
          <w:szCs w:val="32"/>
        </w:rPr>
      </w:pPr>
      <w:r>
        <w:rPr>
          <w:rFonts w:hint="eastAsia" w:ascii="宋体" w:hAnsi="宋体" w:cs="宋体"/>
          <w:b/>
          <w:bCs/>
          <w:kern w:val="0"/>
          <w:sz w:val="32"/>
          <w:szCs w:val="32"/>
        </w:rPr>
        <w:t>十二、预算绩效情况</w:t>
      </w:r>
    </w:p>
    <w:p>
      <w:pPr>
        <w:autoSpaceDE w:val="0"/>
        <w:autoSpaceDN w:val="0"/>
        <w:adjustRightInd w:val="0"/>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20</w:t>
      </w:r>
      <w:r>
        <w:rPr>
          <w:rFonts w:hint="eastAsia" w:ascii="仿宋_GB2312" w:hAnsi="宋体" w:eastAsia="仿宋_GB2312" w:cs="宋体"/>
          <w:kern w:val="0"/>
          <w:sz w:val="32"/>
          <w:szCs w:val="32"/>
        </w:rPr>
        <w:t>22年团区委无列入部门预算项目</w:t>
      </w:r>
    </w:p>
    <w:p>
      <w:pPr>
        <w:autoSpaceDE w:val="0"/>
        <w:autoSpaceDN w:val="0"/>
        <w:adjustRightInd w:val="0"/>
        <w:rPr>
          <w:rFonts w:ascii="宋体" w:cs="Times New Roman"/>
          <w:color w:val="3E3E3E"/>
          <w:kern w:val="0"/>
          <w:sz w:val="32"/>
          <w:szCs w:val="32"/>
        </w:rPr>
      </w:pPr>
    </w:p>
    <w:p>
      <w:pPr>
        <w:autoSpaceDE w:val="0"/>
        <w:autoSpaceDN w:val="0"/>
        <w:adjustRightInd w:val="0"/>
        <w:rPr>
          <w:rFonts w:ascii="宋体" w:cs="Times New Roman"/>
          <w:kern w:val="0"/>
          <w:sz w:val="32"/>
          <w:szCs w:val="32"/>
        </w:rPr>
      </w:pPr>
    </w:p>
    <w:p>
      <w:pPr>
        <w:autoSpaceDE w:val="0"/>
        <w:autoSpaceDN w:val="0"/>
        <w:adjustRightInd w:val="0"/>
        <w:rPr>
          <w:rFonts w:ascii="宋体" w:cs="Times New Roman"/>
          <w:kern w:val="0"/>
          <w:sz w:val="32"/>
          <w:szCs w:val="32"/>
        </w:rPr>
      </w:pPr>
    </w:p>
    <w:p>
      <w:pPr>
        <w:autoSpaceDE w:val="0"/>
        <w:autoSpaceDN w:val="0"/>
        <w:adjustRightInd w:val="0"/>
        <w:rPr>
          <w:rFonts w:ascii="宋体" w:cs="Times New Roman"/>
          <w:kern w:val="0"/>
          <w:sz w:val="32"/>
          <w:szCs w:val="32"/>
        </w:rPr>
      </w:pPr>
    </w:p>
    <w:p>
      <w:pPr>
        <w:autoSpaceDE w:val="0"/>
        <w:autoSpaceDN w:val="0"/>
        <w:adjustRightInd w:val="0"/>
        <w:rPr>
          <w:rFonts w:ascii="宋体" w:cs="Times New Roman"/>
          <w:kern w:val="0"/>
          <w:sz w:val="32"/>
          <w:szCs w:val="32"/>
        </w:rPr>
      </w:pPr>
    </w:p>
    <w:p>
      <w:pPr>
        <w:autoSpaceDE w:val="0"/>
        <w:autoSpaceDN w:val="0"/>
        <w:adjustRightInd w:val="0"/>
        <w:rPr>
          <w:rFonts w:ascii="宋体" w:cs="Times New Roman"/>
          <w:kern w:val="0"/>
          <w:sz w:val="32"/>
          <w:szCs w:val="32"/>
        </w:rPr>
      </w:pPr>
    </w:p>
    <w:p>
      <w:pPr>
        <w:autoSpaceDE w:val="0"/>
        <w:autoSpaceDN w:val="0"/>
        <w:adjustRightInd w:val="0"/>
        <w:rPr>
          <w:rFonts w:ascii="宋体" w:cs="Times New Roman"/>
          <w:kern w:val="0"/>
          <w:sz w:val="32"/>
          <w:szCs w:val="32"/>
        </w:rPr>
      </w:pPr>
    </w:p>
    <w:p>
      <w:pPr>
        <w:autoSpaceDE w:val="0"/>
        <w:autoSpaceDN w:val="0"/>
        <w:adjustRightInd w:val="0"/>
        <w:rPr>
          <w:rFonts w:ascii="宋体" w:cs="Times New Roman"/>
          <w:kern w:val="0"/>
          <w:sz w:val="32"/>
          <w:szCs w:val="32"/>
        </w:rPr>
      </w:pPr>
    </w:p>
    <w:p>
      <w:pPr>
        <w:autoSpaceDE w:val="0"/>
        <w:autoSpaceDN w:val="0"/>
        <w:adjustRightInd w:val="0"/>
        <w:rPr>
          <w:rFonts w:ascii="宋体" w:cs="Times New Roman"/>
          <w:b/>
          <w:bCs/>
          <w:kern w:val="0"/>
          <w:sz w:val="32"/>
          <w:szCs w:val="32"/>
        </w:rPr>
      </w:pPr>
      <w:r>
        <w:rPr>
          <w:rFonts w:hint="eastAsia" w:ascii="宋体" w:hAnsi="宋体" w:cs="宋体"/>
          <w:b/>
          <w:bCs/>
          <w:kern w:val="0"/>
          <w:sz w:val="32"/>
          <w:szCs w:val="32"/>
        </w:rPr>
        <w:t>第四部分名词解释</w:t>
      </w:r>
    </w:p>
    <w:p>
      <w:pPr>
        <w:autoSpaceDE w:val="0"/>
        <w:autoSpaceDN w:val="0"/>
        <w:adjustRightIn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一、财政拨款收入：指中央财政当年拨付的资金。</w:t>
      </w:r>
    </w:p>
    <w:p>
      <w:pPr>
        <w:autoSpaceDE w:val="0"/>
        <w:autoSpaceDN w:val="0"/>
        <w:adjustRightIn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二、其他收入：指除上述“财政拨款收入”、“事业收入”、“事业单位经营收入”等以外的收入。主要是按规定动用的售房收入、存款利息收入等。</w:t>
      </w:r>
    </w:p>
    <w:p>
      <w:pPr>
        <w:autoSpaceDE w:val="0"/>
        <w:autoSpaceDN w:val="0"/>
        <w:adjustRightIn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三、上年结转：指以前年度尚未完成，结转到本年仍按原规定用途继续使用的资金（预算中为预计数）。</w:t>
      </w:r>
    </w:p>
    <w:p>
      <w:pPr>
        <w:autoSpaceDE w:val="0"/>
        <w:autoSpaceDN w:val="0"/>
        <w:adjustRightIn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四、基本支出：指为保障机构正常运转、完成日常工作任务而发生的人员支出和公用支出。</w:t>
      </w:r>
    </w:p>
    <w:p>
      <w:pPr>
        <w:autoSpaceDE w:val="0"/>
        <w:autoSpaceDN w:val="0"/>
        <w:adjustRightIn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五、项目支出：指在基本支出之外为完成特定行政任务和事业发展目标所发生的支出。</w:t>
      </w:r>
    </w:p>
    <w:p>
      <w:pPr>
        <w:autoSpaceDE w:val="0"/>
        <w:autoSpaceDN w:val="0"/>
        <w:adjustRightIn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六、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autoSpaceDE w:val="0"/>
        <w:autoSpaceDN w:val="0"/>
        <w:adjustRightInd w:val="0"/>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机关运行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utoSpaceDE w:val="0"/>
        <w:autoSpaceDN w:val="0"/>
        <w:adjustRightInd w:val="0"/>
        <w:rPr>
          <w:rFonts w:ascii="宋体" w:cs="Times New Roman"/>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QxZTc4ODQ5MDZhZThhYTBjMDcwNmU4NjJhM2IzM2EifQ=="/>
  </w:docVars>
  <w:rsids>
    <w:rsidRoot w:val="00AC598A"/>
    <w:rsid w:val="000150E7"/>
    <w:rsid w:val="0001515B"/>
    <w:rsid w:val="00016F38"/>
    <w:rsid w:val="0001704A"/>
    <w:rsid w:val="00075C6E"/>
    <w:rsid w:val="000A1373"/>
    <w:rsid w:val="000C4943"/>
    <w:rsid w:val="000C4983"/>
    <w:rsid w:val="000F087E"/>
    <w:rsid w:val="00100400"/>
    <w:rsid w:val="00102AEA"/>
    <w:rsid w:val="00112E35"/>
    <w:rsid w:val="001A03DE"/>
    <w:rsid w:val="001A067E"/>
    <w:rsid w:val="001C3DB7"/>
    <w:rsid w:val="001D764C"/>
    <w:rsid w:val="001E1757"/>
    <w:rsid w:val="001E4C7B"/>
    <w:rsid w:val="001F4768"/>
    <w:rsid w:val="002A4FFB"/>
    <w:rsid w:val="002A7FBA"/>
    <w:rsid w:val="002F4470"/>
    <w:rsid w:val="00300EEC"/>
    <w:rsid w:val="0035248F"/>
    <w:rsid w:val="003A7ECF"/>
    <w:rsid w:val="003B0878"/>
    <w:rsid w:val="003B08D0"/>
    <w:rsid w:val="00415BBF"/>
    <w:rsid w:val="00437D6A"/>
    <w:rsid w:val="004415A0"/>
    <w:rsid w:val="00456CB5"/>
    <w:rsid w:val="004A2BE5"/>
    <w:rsid w:val="004C574B"/>
    <w:rsid w:val="0050084A"/>
    <w:rsid w:val="00520680"/>
    <w:rsid w:val="005211A3"/>
    <w:rsid w:val="005238B0"/>
    <w:rsid w:val="0057123B"/>
    <w:rsid w:val="005759CD"/>
    <w:rsid w:val="005A0737"/>
    <w:rsid w:val="005C178A"/>
    <w:rsid w:val="00614FF8"/>
    <w:rsid w:val="00626C72"/>
    <w:rsid w:val="00645759"/>
    <w:rsid w:val="0066668B"/>
    <w:rsid w:val="006B7561"/>
    <w:rsid w:val="006E2BEF"/>
    <w:rsid w:val="007045DA"/>
    <w:rsid w:val="00720D92"/>
    <w:rsid w:val="00732B62"/>
    <w:rsid w:val="00760F45"/>
    <w:rsid w:val="00762C61"/>
    <w:rsid w:val="007C4CE9"/>
    <w:rsid w:val="008718E6"/>
    <w:rsid w:val="00875658"/>
    <w:rsid w:val="008960D1"/>
    <w:rsid w:val="008E6A6D"/>
    <w:rsid w:val="008F1E14"/>
    <w:rsid w:val="00932835"/>
    <w:rsid w:val="00942A9C"/>
    <w:rsid w:val="00997711"/>
    <w:rsid w:val="009F53FD"/>
    <w:rsid w:val="00A2531E"/>
    <w:rsid w:val="00A504F6"/>
    <w:rsid w:val="00AA71A4"/>
    <w:rsid w:val="00AB0186"/>
    <w:rsid w:val="00AB195F"/>
    <w:rsid w:val="00AB23A3"/>
    <w:rsid w:val="00AC598A"/>
    <w:rsid w:val="00AC6007"/>
    <w:rsid w:val="00AD2E46"/>
    <w:rsid w:val="00AE1000"/>
    <w:rsid w:val="00AF5698"/>
    <w:rsid w:val="00B37860"/>
    <w:rsid w:val="00B623E3"/>
    <w:rsid w:val="00B71F68"/>
    <w:rsid w:val="00B80A2E"/>
    <w:rsid w:val="00BB6A6E"/>
    <w:rsid w:val="00C30AE4"/>
    <w:rsid w:val="00CA4EBC"/>
    <w:rsid w:val="00CC5F4E"/>
    <w:rsid w:val="00D4224E"/>
    <w:rsid w:val="00D5067E"/>
    <w:rsid w:val="00D56901"/>
    <w:rsid w:val="00DC4B07"/>
    <w:rsid w:val="00DF2DDB"/>
    <w:rsid w:val="00E06724"/>
    <w:rsid w:val="00E41980"/>
    <w:rsid w:val="00E63DCC"/>
    <w:rsid w:val="00E67DC2"/>
    <w:rsid w:val="00E81321"/>
    <w:rsid w:val="00EB0DF0"/>
    <w:rsid w:val="00EB11F0"/>
    <w:rsid w:val="00EB52ED"/>
    <w:rsid w:val="00EB76AA"/>
    <w:rsid w:val="00ED2B29"/>
    <w:rsid w:val="00ED2FAF"/>
    <w:rsid w:val="00EE7143"/>
    <w:rsid w:val="00F331A5"/>
    <w:rsid w:val="00F46C87"/>
    <w:rsid w:val="00F90C49"/>
    <w:rsid w:val="00F94E66"/>
    <w:rsid w:val="22057A5E"/>
    <w:rsid w:val="254C2FF9"/>
    <w:rsid w:val="33A16F2C"/>
    <w:rsid w:val="3A0C47F9"/>
    <w:rsid w:val="3C4F4049"/>
    <w:rsid w:val="51444915"/>
    <w:rsid w:val="53C42C27"/>
    <w:rsid w:val="79EF291C"/>
    <w:rsid w:val="7BB63D67"/>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rPr>
      <w:rFonts w:ascii="Times New Roman" w:hAnsi="Times New Roman" w:cs="Times New Roman"/>
      <w:sz w:val="24"/>
      <w:szCs w:val="24"/>
    </w:rPr>
  </w:style>
  <w:style w:type="character" w:customStyle="1" w:styleId="8">
    <w:name w:val="页眉 Char"/>
    <w:basedOn w:val="7"/>
    <w:link w:val="4"/>
    <w:semiHidden/>
    <w:qFormat/>
    <w:locked/>
    <w:uiPriority w:val="99"/>
    <w:rPr>
      <w:sz w:val="18"/>
      <w:szCs w:val="18"/>
    </w:rPr>
  </w:style>
  <w:style w:type="character" w:customStyle="1" w:styleId="9">
    <w:name w:val="页脚 Char"/>
    <w:basedOn w:val="7"/>
    <w:link w:val="3"/>
    <w:semiHidden/>
    <w:qFormat/>
    <w:locked/>
    <w:uiPriority w:val="99"/>
    <w:rPr>
      <w:sz w:val="18"/>
      <w:szCs w:val="18"/>
    </w:rPr>
  </w:style>
  <w:style w:type="character" w:customStyle="1" w:styleId="10">
    <w:name w:val="日期 Char"/>
    <w:basedOn w:val="7"/>
    <w:link w:val="2"/>
    <w:semiHidden/>
    <w:qFormat/>
    <w:uiPriority w:val="99"/>
    <w:rPr>
      <w:rFonts w:cs="Calibr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2817</Words>
  <Characters>3012</Characters>
  <Lines>27</Lines>
  <Paragraphs>7</Paragraphs>
  <TotalTime>51</TotalTime>
  <ScaleCrop>false</ScaleCrop>
  <LinksUpToDate>false</LinksUpToDate>
  <CharactersWithSpaces>3033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2017-02-10T08:00:00Z</dcterms:created>
  <dc:creator>a</dc:creator>
  <cp:lastModifiedBy>Administrator</cp:lastModifiedBy>
  <cp:lastPrinted>2022-08-09T07:50:00Z</cp:lastPrinted>
  <dcterms:modified xsi:type="dcterms:W3CDTF">2022-01-04T02:44:05Z</dcterms:modified>
  <dc:title>2017年长春市工业和信息化局</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B7B97C2EAC2442F38F40ECBF420A553F</vt:lpwstr>
  </property>
</Properties>
</file>