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Times New Roman"/>
          <w:sz w:val="44"/>
          <w:szCs w:val="44"/>
        </w:rPr>
      </w:pPr>
      <w:r>
        <w:rPr>
          <w:rFonts w:hint="eastAsia" w:ascii="Arial" w:hAnsi="Arial" w:eastAsia="方正小标宋简体" w:cs="Arial"/>
          <w:sz w:val="44"/>
          <w:szCs w:val="44"/>
          <w:lang w:eastAsia="zh-CN"/>
        </w:rPr>
        <w:t>2023</w:t>
      </w:r>
      <w:r>
        <w:rPr>
          <w:rFonts w:hint="eastAsia" w:ascii="Arial" w:hAnsi="Arial" w:eastAsia="方正小标宋简体" w:cs="方正小标宋简体"/>
          <w:sz w:val="44"/>
          <w:szCs w:val="44"/>
        </w:rPr>
        <w:t>年长春市</w:t>
      </w:r>
      <w:r>
        <w:rPr>
          <w:rFonts w:hint="eastAsia" w:ascii="Arial" w:hAnsi="Arial" w:eastAsia="方正小标宋简体" w:cs="方正小标宋简体"/>
          <w:sz w:val="44"/>
          <w:szCs w:val="44"/>
          <w:lang w:eastAsia="zh-CN"/>
        </w:rPr>
        <w:t>二道区</w:t>
      </w:r>
      <w:r>
        <w:rPr>
          <w:rFonts w:hint="eastAsia" w:ascii="Arial" w:hAnsi="Arial" w:eastAsia="方正小标宋简体" w:cs="方正小标宋简体"/>
          <w:sz w:val="44"/>
          <w:szCs w:val="44"/>
          <w:lang w:val="en-US" w:eastAsia="zh-CN"/>
        </w:rPr>
        <w:t>长青社区卫生服务中心</w:t>
      </w: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hint="eastAsia" w:ascii="仿宋" w:hAnsi="仿宋" w:eastAsia="仿宋" w:cs="仿宋"/>
          <w:sz w:val="44"/>
          <w:szCs w:val="44"/>
          <w:lang w:val="en-US" w:eastAsia="zh-CN"/>
        </w:rPr>
        <w:t>二〇二三年一月九日</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p>
    <w:p>
      <w:pPr>
        <w:jc w:val="center"/>
        <w:rPr>
          <w:rFonts w:hint="eastAsia" w:ascii="Arial" w:hAnsi="Arial"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hint="eastAsia" w:ascii="宋体" w:hAnsi="宋体" w:cs="宋体"/>
          <w:sz w:val="44"/>
          <w:szCs w:val="44"/>
          <w:lang w:eastAsia="zh-CN"/>
        </w:rPr>
        <w:t>2023</w:t>
      </w:r>
      <w:r>
        <w:rPr>
          <w:rFonts w:hint="eastAsia" w:ascii="宋体" w:hAnsi="宋体" w:cs="宋体"/>
          <w:sz w:val="44"/>
          <w:szCs w:val="44"/>
        </w:rPr>
        <w:t>年度长春市</w:t>
      </w:r>
      <w:r>
        <w:rPr>
          <w:rFonts w:hint="eastAsia" w:ascii="宋体" w:hAnsi="宋体" w:cs="宋体"/>
          <w:sz w:val="44"/>
          <w:szCs w:val="44"/>
          <w:lang w:eastAsia="zh-CN"/>
        </w:rPr>
        <w:t>二道区</w:t>
      </w:r>
      <w:r>
        <w:rPr>
          <w:rFonts w:hint="eastAsia" w:ascii="宋体" w:hAnsi="宋体" w:cs="宋体"/>
          <w:sz w:val="44"/>
          <w:szCs w:val="44"/>
          <w:lang w:val="en-US" w:eastAsia="zh-CN"/>
        </w:rPr>
        <w:t>长青社区卫生服务中心</w:t>
      </w:r>
      <w:r>
        <w:rPr>
          <w:rFonts w:hint="eastAsia" w:ascii="宋体" w:hAnsi="宋体" w:cs="宋体"/>
          <w:sz w:val="44"/>
          <w:szCs w:val="44"/>
        </w:rPr>
        <w:t>部门预算</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lang w:val="en-US" w:eastAsia="zh-CN"/>
        </w:rPr>
        <w:t>1.1.1</w:t>
      </w:r>
      <w:r>
        <w:rPr>
          <w:rFonts w:hint="eastAsia" w:ascii="宋体" w:hAnsi="宋体" w:cs="宋体"/>
          <w:color w:val="3E3E3E"/>
          <w:kern w:val="0"/>
          <w:sz w:val="32"/>
          <w:szCs w:val="32"/>
        </w:rPr>
        <w:t>提供国家基本公共卫生服务</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(1)承担农村居民健康档案规范建档指导、管理及服务。</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(2)普及卫生保健常识，在重点人群和重点场所开展健康教育，帮助居民形成有利于维护和增进健康的行为方式。</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(3)提供并组织实施辖区预防接种服务，落实国家免疫规</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划。</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(4)及时发现、登记并报告辖区内发现的传染病病例和疑似病例，参与现场疫情处理。</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(5)开展新生儿访视及儿童保健系统管理，进行体格检查和生长发育监测及评价，开展健康指导。</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lang w:eastAsia="zh-CN"/>
        </w:rPr>
        <w:t>（</w:t>
      </w:r>
      <w:r>
        <w:rPr>
          <w:rFonts w:hint="eastAsia" w:ascii="宋体" w:hAnsi="宋体" w:cs="宋体"/>
          <w:color w:val="3E3E3E"/>
          <w:kern w:val="0"/>
          <w:sz w:val="32"/>
          <w:szCs w:val="32"/>
          <w:lang w:val="en-US" w:eastAsia="zh-CN"/>
        </w:rPr>
        <w:t>6</w:t>
      </w:r>
      <w:r>
        <w:rPr>
          <w:rFonts w:hint="eastAsia" w:ascii="宋体" w:hAnsi="宋体" w:cs="宋体"/>
          <w:color w:val="3E3E3E"/>
          <w:kern w:val="0"/>
          <w:sz w:val="32"/>
          <w:szCs w:val="32"/>
          <w:lang w:eastAsia="zh-CN"/>
        </w:rPr>
        <w:t>）</w:t>
      </w:r>
      <w:r>
        <w:rPr>
          <w:rFonts w:hint="eastAsia" w:ascii="宋体" w:hAnsi="宋体" w:cs="宋体"/>
          <w:color w:val="3E3E3E"/>
          <w:kern w:val="0"/>
          <w:sz w:val="32"/>
          <w:szCs w:val="32"/>
        </w:rPr>
        <w:t>开展孕产妇保健系统管理和产后访视，进行一般体检查及孕期营养、心理等健康指导。</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(7)对辖区65岁及以上老年人进行登记管理，进行健康危险因素调查和一般体格检查，开展健康指导。</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(8)对高血压、糖尿病等慢性病高危人群进行指导，对确诊高血压、糖尿病等慢性病病例进行登记管理、定期随访和健康指导。</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(9)对辖区重型精神疾病患者进行登记管理、治疗随访和</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康复指导。</w:t>
      </w:r>
    </w:p>
    <w:p>
      <w:pPr>
        <w:widowControl/>
        <w:numPr>
          <w:ilvl w:val="0"/>
          <w:numId w:val="1"/>
        </w:numPr>
        <w:spacing w:before="100" w:beforeAutospacing="1" w:after="100" w:afterAutospacing="1" w:line="360" w:lineRule="auto"/>
        <w:ind w:left="730" w:leftChars="304" w:hanging="92" w:hangingChars="29"/>
        <w:jc w:val="left"/>
        <w:rPr>
          <w:rFonts w:hint="eastAsia" w:ascii="宋体" w:hAnsi="宋体" w:cs="宋体"/>
          <w:color w:val="3E3E3E"/>
          <w:kern w:val="0"/>
          <w:sz w:val="32"/>
          <w:szCs w:val="32"/>
        </w:rPr>
      </w:pPr>
      <w:r>
        <w:rPr>
          <w:rFonts w:hint="eastAsia" w:ascii="宋体" w:hAnsi="宋体" w:cs="宋体"/>
          <w:color w:val="3E3E3E"/>
          <w:kern w:val="0"/>
          <w:sz w:val="32"/>
          <w:szCs w:val="32"/>
        </w:rPr>
        <w:t>负责辖区内突发公共卫生事件的报告并协助处</w:t>
      </w:r>
    </w:p>
    <w:p>
      <w:pPr>
        <w:widowControl/>
        <w:numPr>
          <w:ilvl w:val="0"/>
          <w:numId w:val="1"/>
        </w:numPr>
        <w:spacing w:before="100" w:beforeAutospacing="1" w:after="100" w:afterAutospacing="1" w:line="360" w:lineRule="auto"/>
        <w:ind w:left="730" w:leftChars="304" w:hanging="92" w:hangingChars="29"/>
        <w:jc w:val="left"/>
        <w:rPr>
          <w:rFonts w:hint="eastAsia" w:ascii="宋体" w:hAnsi="宋体" w:cs="宋体"/>
          <w:color w:val="3E3E3E"/>
          <w:kern w:val="0"/>
          <w:sz w:val="32"/>
          <w:szCs w:val="32"/>
        </w:rPr>
      </w:pPr>
      <w:r>
        <w:rPr>
          <w:rFonts w:hint="eastAsia" w:ascii="宋体" w:hAnsi="宋体" w:cs="宋体"/>
          <w:color w:val="3E3E3E"/>
          <w:kern w:val="0"/>
          <w:sz w:val="32"/>
          <w:szCs w:val="32"/>
        </w:rPr>
        <w:t>做好卫生行政部门规定的其他公共卫生服务。</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1.</w:t>
      </w:r>
      <w:r>
        <w:rPr>
          <w:rFonts w:hint="eastAsia" w:ascii="宋体" w:hAnsi="宋体" w:cs="宋体"/>
          <w:color w:val="3E3E3E"/>
          <w:kern w:val="0"/>
          <w:sz w:val="32"/>
          <w:szCs w:val="32"/>
          <w:lang w:val="en-US" w:eastAsia="zh-CN"/>
        </w:rPr>
        <w:t>1</w:t>
      </w:r>
      <w:r>
        <w:rPr>
          <w:rFonts w:hint="eastAsia" w:ascii="宋体" w:hAnsi="宋体" w:cs="宋体"/>
          <w:color w:val="3E3E3E"/>
          <w:kern w:val="0"/>
          <w:sz w:val="32"/>
          <w:szCs w:val="32"/>
        </w:rPr>
        <w:t>.2提供基本医疗服务</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(1)使用中、西医医疗技术，正确处理常见病、多发病，对疑难重症进行恰当的处理并转诊。承担乡村现场应急救护、转诊服务和康复服务。</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(2)具备处理孕妇检查能力，能完成外科的止血、缝合、包扎等处置。</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(3)健全消毒、隔离制度，遵守无菌操作规程，加强医疗质量管理。做好医疗废物处理和污水、污物无害化处理。</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(4)执行国家基本药物制度药品集中采购、零差率销售等政策，为实施一体化管理的村卫生室统一代购药品。</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(5)提供政府卫生行政部门批准的其他适宜的医疗服务。1.</w:t>
      </w:r>
      <w:r>
        <w:rPr>
          <w:rFonts w:hint="eastAsia" w:ascii="宋体" w:hAnsi="宋体" w:cs="宋体"/>
          <w:color w:val="3E3E3E"/>
          <w:kern w:val="0"/>
          <w:sz w:val="32"/>
          <w:szCs w:val="32"/>
          <w:lang w:val="en-US" w:eastAsia="zh-CN"/>
        </w:rPr>
        <w:t>1.3</w:t>
      </w:r>
      <w:r>
        <w:rPr>
          <w:rFonts w:hint="eastAsia" w:ascii="宋体" w:hAnsi="宋体" w:cs="宋体"/>
          <w:color w:val="3E3E3E"/>
          <w:kern w:val="0"/>
          <w:sz w:val="32"/>
          <w:szCs w:val="32"/>
        </w:rPr>
        <w:t>承担国家基本公共卫生管理</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(1)对辖区内传染病防治、学校卫生、饮水卫生、职业卫生，以及村级预防保健工作进行指导、培训、考核。</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(2)严格执行新型农村合作医疗政策规定，履行定点医疗机构职责，做好有关的政策宣传、监督及服务工作。</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(3)深入推进乡村卫生服务一体化管理，对村卫生室实行以行政、人员、业务、药品、财产为基本内容的“五统一”规范管理;负责村卫生室的技术指导和乡村医生培训等工作。</w:t>
      </w:r>
    </w:p>
    <w:p>
      <w:pPr>
        <w:widowControl/>
        <w:spacing w:before="100" w:beforeAutospacing="1" w:after="100" w:afterAutospacing="1" w:line="360" w:lineRule="auto"/>
        <w:ind w:firstLine="360"/>
        <w:jc w:val="left"/>
        <w:rPr>
          <w:rFonts w:hint="eastAsia" w:ascii="宋体" w:hAnsi="宋体" w:cs="宋体"/>
          <w:color w:val="3E3E3E"/>
          <w:kern w:val="0"/>
          <w:sz w:val="32"/>
          <w:szCs w:val="32"/>
        </w:rPr>
      </w:pPr>
    </w:p>
    <w:p>
      <w:pPr>
        <w:widowControl/>
        <w:spacing w:before="100" w:beforeAutospacing="1" w:after="100" w:afterAutospacing="1" w:line="360" w:lineRule="auto"/>
        <w:ind w:firstLine="360"/>
        <w:jc w:val="left"/>
        <w:rPr>
          <w:rFonts w:ascii="宋体" w:cs="Times New Roman"/>
          <w:color w:val="3E3E3E"/>
          <w:kern w:val="0"/>
          <w:sz w:val="32"/>
          <w:szCs w:val="32"/>
        </w:rPr>
      </w:pPr>
    </w:p>
    <w:tbl>
      <w:tblPr>
        <w:tblStyle w:val="5"/>
        <w:tblW w:w="7215" w:type="dxa"/>
        <w:jc w:val="center"/>
        <w:tblCellSpacing w:w="0" w:type="dxa"/>
        <w:tblLayout w:type="fixed"/>
        <w:tblCellMar>
          <w:top w:w="0" w:type="dxa"/>
          <w:left w:w="0" w:type="dxa"/>
          <w:bottom w:w="0" w:type="dxa"/>
          <w:right w:w="0" w:type="dxa"/>
        </w:tblCellMar>
      </w:tblPr>
      <w:tblGrid>
        <w:gridCol w:w="7215"/>
      </w:tblGrid>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after="380"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二、内设机构</w:t>
            </w:r>
          </w:p>
        </w:tc>
      </w:tr>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before="240" w:after="240" w:line="360" w:lineRule="auto"/>
              <w:jc w:val="left"/>
              <w:rPr>
                <w:rFonts w:ascii="宋体" w:cs="Times New Roman"/>
                <w:color w:val="3E3E3E"/>
                <w:kern w:val="0"/>
                <w:sz w:val="32"/>
                <w:szCs w:val="32"/>
              </w:rPr>
            </w:pPr>
            <w:r>
              <w:rPr>
                <w:rFonts w:hint="eastAsia" w:ascii="宋体" w:hAnsi="宋体" w:cs="宋体"/>
                <w:color w:val="3E3E3E"/>
                <w:kern w:val="0"/>
                <w:sz w:val="32"/>
                <w:szCs w:val="32"/>
              </w:rPr>
              <w:t>（一）办公室</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lang w:eastAsia="zh-CN"/>
              </w:rPr>
              <w:t>（</w:t>
            </w:r>
            <w:r>
              <w:rPr>
                <w:rFonts w:hint="eastAsia" w:ascii="宋体" w:hAnsi="宋体" w:cs="宋体"/>
                <w:color w:val="3E3E3E"/>
                <w:kern w:val="0"/>
                <w:sz w:val="32"/>
                <w:szCs w:val="32"/>
                <w:lang w:val="en-US" w:eastAsia="zh-CN"/>
              </w:rPr>
              <w:t>1</w:t>
            </w:r>
            <w:r>
              <w:rPr>
                <w:rFonts w:hint="eastAsia" w:ascii="宋体" w:hAnsi="宋体" w:cs="宋体"/>
                <w:color w:val="3E3E3E"/>
                <w:kern w:val="0"/>
                <w:sz w:val="32"/>
                <w:szCs w:val="32"/>
                <w:lang w:eastAsia="zh-CN"/>
              </w:rPr>
              <w:t>）</w:t>
            </w:r>
            <w:r>
              <w:rPr>
                <w:rFonts w:hint="eastAsia" w:ascii="宋体" w:hAnsi="宋体" w:cs="宋体"/>
                <w:color w:val="3E3E3E"/>
                <w:kern w:val="0"/>
                <w:sz w:val="32"/>
                <w:szCs w:val="32"/>
              </w:rPr>
              <w:t>协助院长处理日常政务、事务性工作，负责做好与上级各主管部门间的工作协调。</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(2)负责组织本室员工的政治、业务学习，贯彻执行党的路线方针政策和本单位的各项规章制度，协调各科室之间的工作关系。</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(3)检查落实单位内各项规章制度的执行情况，对出现的问题负责协调并提出解决办法和处理意见。</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(4)负责行政管理、用车管理、后勤管理等工作。(5)负责公文函件的上报、下达批转和处理等事宜。(6)负责协助固定资产的管理工作。(7)负责防火、防盗、安全管理工作。</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(8)负责各种大型活动及会议的组织筹备工作。(9)负责日常维修及大宗基建修缮工作。</w:t>
            </w:r>
          </w:p>
          <w:p>
            <w:pPr>
              <w:widowControl/>
              <w:spacing w:before="100" w:beforeAutospacing="1" w:after="100" w:afterAutospacing="1" w:line="360" w:lineRule="auto"/>
              <w:jc w:val="left"/>
              <w:rPr>
                <w:rFonts w:hint="eastAsia" w:ascii="宋体" w:hAnsi="宋体" w:cs="宋体"/>
                <w:color w:val="3E3E3E"/>
                <w:kern w:val="0"/>
                <w:sz w:val="32"/>
                <w:szCs w:val="32"/>
                <w:lang w:eastAsia="zh-CN"/>
              </w:rPr>
            </w:pPr>
            <w:r>
              <w:rPr>
                <w:rFonts w:hint="eastAsia" w:ascii="宋体" w:hAnsi="宋体" w:cs="宋体"/>
                <w:color w:val="3E3E3E"/>
                <w:kern w:val="0"/>
                <w:sz w:val="32"/>
                <w:szCs w:val="32"/>
                <w:lang w:eastAsia="zh-CN"/>
              </w:rPr>
              <w:t>（二）财务科</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(1)认真贯彻执行《会计法》，维护财经纪律，加强财务告理，搞好会计核算。</w:t>
            </w:r>
          </w:p>
          <w:p>
            <w:pPr>
              <w:widowControl/>
              <w:spacing w:before="100" w:beforeAutospacing="1" w:after="100" w:afterAutospacing="1" w:line="360" w:lineRule="auto"/>
              <w:jc w:val="left"/>
              <w:rPr>
                <w:rFonts w:hint="eastAsia" w:ascii="宋体" w:hAnsi="宋体" w:eastAsia="宋体" w:cs="宋体"/>
                <w:color w:val="3E3E3E"/>
                <w:kern w:val="0"/>
                <w:sz w:val="32"/>
                <w:szCs w:val="32"/>
                <w:lang w:val="en-US" w:eastAsia="zh-CN"/>
              </w:rPr>
            </w:pPr>
            <w:r>
              <w:rPr>
                <w:rFonts w:hint="eastAsia" w:ascii="宋体" w:hAnsi="宋体" w:cs="宋体"/>
                <w:color w:val="3E3E3E"/>
                <w:kern w:val="0"/>
                <w:sz w:val="32"/>
                <w:szCs w:val="32"/>
              </w:rPr>
              <w:t>(2)管理本位经费、医疗收支以及其专项业务经费制定本部门的财务管理办法和实施细则，并组织实施。编报部门预算，审查核定年度预算，做好相关资金的综合统筹平衡工作</w:t>
            </w:r>
            <w:r>
              <w:rPr>
                <w:rFonts w:hint="eastAsia" w:ascii="宋体" w:hAnsi="宋体" w:cs="宋体"/>
                <w:color w:val="3E3E3E"/>
                <w:kern w:val="0"/>
                <w:sz w:val="32"/>
                <w:szCs w:val="32"/>
                <w:lang w:eastAsia="zh-CN"/>
              </w:rPr>
              <w:t>。</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(3)按照《会计法》的要求，认真做好会计核算，做到手续完备、内容真实、数字准确、账目清楚;日清月结，按期报账。</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(4)按照相关制度规定，严格执行财务计划和预算，节约开支，考核资金使用效果，充分利用财务数据，客观真实的对预算执行情况、财务报表数据进行分析，及时为领导提供准确数据。</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(5)负责债权、债务工作，加强固定资产管理，维护国家财产的安全、完整。</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(6)按照会计档案管理制度，负责记账凭证、账簿、报表等会计资料的立卷、建档工作。</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(7)负责医疗业务收费票据的领购、分发、缴销等工作。</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(8)负责本单位所属各科室、村卫生所和长青卫生服务站经费申请报告和政府采购手续的审查、监督和呈报工作。</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(9)组织本单位及系统财务人员，学习国家财政法规制度和现代化财务管理，做好本院财务公开，接受社会监督。</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(10)接受并配合审计、财政、卫计等部门的监督检查。</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（三）医务科</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(1)在院长及分管院领导的领导下，根据国家法律、政策及医院发展规划相关管理制度具体组织实施医疗工作，实施医疗加并指业务管理。</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(2)拟定全院医疗业务发展规划，工作计划，报院领导批准后，认真组织实施，定期督促检查，及时总结分析。</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w:t>
            </w:r>
            <w:r>
              <w:rPr>
                <w:rFonts w:hint="eastAsia" w:ascii="宋体" w:cs="Times New Roman"/>
                <w:color w:val="3E3E3E"/>
                <w:kern w:val="0"/>
                <w:sz w:val="32"/>
                <w:szCs w:val="32"/>
                <w:lang w:val="en-US" w:eastAsia="zh-CN"/>
              </w:rPr>
              <w:t>3</w:t>
            </w:r>
            <w:r>
              <w:rPr>
                <w:rFonts w:hint="eastAsia" w:ascii="宋体" w:cs="Times New Roman"/>
                <w:color w:val="3E3E3E"/>
                <w:kern w:val="0"/>
                <w:sz w:val="32"/>
                <w:szCs w:val="32"/>
                <w:lang w:eastAsia="zh-CN"/>
              </w:rPr>
              <w:t xml:space="preserve">）定期或不定期深入临床科室督促、检查医疗法规、制 操作 度，规章执行情况，规范医疗行为，采取有效措施，提高医疗质量，保证医疗安全。 </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(4)负责组织院内外抢救，负责安排对医疗业务技术指导工作。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(5)督促临床安全用药，督促药品、器械的供应、使用，经常检查确保质量。</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(6)负责对医疗事故争论进行调查处理，负责接待病员方的来信来访及医疗咨询。</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(7)协调全院临床科室中的医疗问题。</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(8)协助职工培训部，加强对医务人员的三基培训及技术考核工作。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(9)负责接待病员、律师、公检法等对医疗文件资料的查阅、复印工作。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(10)完成上级部门及院领导安排的其他工作。</w:t>
            </w:r>
          </w:p>
          <w:p>
            <w:pPr>
              <w:widowControl/>
              <w:spacing w:before="100" w:beforeAutospacing="1" w:after="100" w:afterAutospacing="1" w:line="360" w:lineRule="auto"/>
              <w:jc w:val="left"/>
              <w:rPr>
                <w:rFonts w:hint="eastAsia" w:ascii="宋体" w:cs="Times New Roman"/>
                <w:color w:val="3E3E3E"/>
                <w:kern w:val="0"/>
                <w:sz w:val="32"/>
                <w:szCs w:val="32"/>
                <w:lang w:val="en-US" w:eastAsia="zh-CN"/>
              </w:rPr>
            </w:pPr>
            <w:r>
              <w:rPr>
                <w:rFonts w:hint="eastAsia" w:ascii="宋体" w:cs="Times New Roman"/>
                <w:color w:val="3E3E3E"/>
                <w:kern w:val="0"/>
                <w:sz w:val="32"/>
                <w:szCs w:val="32"/>
                <w:lang w:val="en-US" w:eastAsia="zh-CN"/>
              </w:rPr>
              <w:t>(四)人事科</w:t>
            </w:r>
          </w:p>
          <w:p>
            <w:pPr>
              <w:widowControl/>
              <w:spacing w:before="100" w:beforeAutospacing="1" w:after="100" w:afterAutospacing="1" w:line="360" w:lineRule="auto"/>
              <w:jc w:val="left"/>
              <w:rPr>
                <w:rFonts w:hint="default" w:ascii="宋体" w:cs="Times New Roman"/>
                <w:color w:val="3E3E3E"/>
                <w:kern w:val="0"/>
                <w:sz w:val="32"/>
                <w:szCs w:val="32"/>
                <w:lang w:val="en-US" w:eastAsia="zh-CN"/>
              </w:rPr>
            </w:pPr>
            <w:r>
              <w:rPr>
                <w:rFonts w:hint="default" w:ascii="宋体" w:cs="Times New Roman"/>
                <w:color w:val="3E3E3E"/>
                <w:kern w:val="0"/>
                <w:sz w:val="32"/>
                <w:szCs w:val="32"/>
                <w:lang w:val="en-US" w:eastAsia="zh-CN"/>
              </w:rPr>
              <w:t>(1)指导、督促本科室工作人员做好工资管理、各类报表、职称薪级等级评定及人事档案管理等工作。</w:t>
            </w:r>
          </w:p>
          <w:p>
            <w:pPr>
              <w:widowControl/>
              <w:spacing w:before="100" w:beforeAutospacing="1" w:after="100" w:afterAutospacing="1" w:line="360" w:lineRule="auto"/>
              <w:jc w:val="left"/>
              <w:rPr>
                <w:rFonts w:hint="default" w:ascii="宋体" w:cs="Times New Roman"/>
                <w:color w:val="3E3E3E"/>
                <w:kern w:val="0"/>
                <w:sz w:val="32"/>
                <w:szCs w:val="32"/>
                <w:lang w:val="en-US" w:eastAsia="zh-CN"/>
              </w:rPr>
            </w:pPr>
            <w:r>
              <w:rPr>
                <w:rFonts w:hint="default" w:ascii="宋体" w:cs="Times New Roman"/>
                <w:color w:val="3E3E3E"/>
                <w:kern w:val="0"/>
                <w:sz w:val="32"/>
                <w:szCs w:val="32"/>
                <w:lang w:val="en-US" w:eastAsia="zh-CN"/>
              </w:rPr>
              <w:t>(2)与上级人社部门沟通、协调。</w:t>
            </w:r>
          </w:p>
          <w:p>
            <w:pPr>
              <w:widowControl/>
              <w:spacing w:before="100" w:beforeAutospacing="1" w:after="100" w:afterAutospacing="1" w:line="360" w:lineRule="auto"/>
              <w:jc w:val="left"/>
              <w:rPr>
                <w:rFonts w:hint="default" w:ascii="宋体" w:cs="Times New Roman"/>
                <w:color w:val="3E3E3E"/>
                <w:kern w:val="0"/>
                <w:sz w:val="32"/>
                <w:szCs w:val="32"/>
                <w:lang w:val="en-US" w:eastAsia="zh-CN"/>
              </w:rPr>
            </w:pPr>
            <w:r>
              <w:rPr>
                <w:rFonts w:hint="eastAsia" w:ascii="宋体" w:cs="Times New Roman"/>
                <w:color w:val="3E3E3E"/>
                <w:kern w:val="0"/>
                <w:sz w:val="32"/>
                <w:szCs w:val="32"/>
                <w:lang w:val="en-US" w:eastAsia="zh-CN"/>
              </w:rPr>
              <w:t>（3）</w:t>
            </w:r>
            <w:r>
              <w:rPr>
                <w:rFonts w:hint="default" w:ascii="宋体" w:cs="Times New Roman"/>
                <w:color w:val="3E3E3E"/>
                <w:kern w:val="0"/>
                <w:sz w:val="32"/>
                <w:szCs w:val="32"/>
                <w:lang w:val="en-US" w:eastAsia="zh-CN"/>
              </w:rPr>
              <w:t>人员表彰奖励方案的制定。</w:t>
            </w:r>
          </w:p>
          <w:p>
            <w:pPr>
              <w:widowControl/>
              <w:spacing w:before="100" w:beforeAutospacing="1" w:after="100" w:afterAutospacing="1" w:line="360" w:lineRule="auto"/>
              <w:jc w:val="left"/>
              <w:rPr>
                <w:rFonts w:hint="default" w:ascii="宋体" w:cs="Times New Roman"/>
                <w:color w:val="3E3E3E"/>
                <w:kern w:val="0"/>
                <w:sz w:val="32"/>
                <w:szCs w:val="32"/>
                <w:lang w:val="en-US" w:eastAsia="zh-CN"/>
              </w:rPr>
            </w:pPr>
            <w:r>
              <w:rPr>
                <w:rFonts w:hint="default" w:ascii="宋体" w:cs="Times New Roman"/>
                <w:color w:val="3E3E3E"/>
                <w:kern w:val="0"/>
                <w:sz w:val="32"/>
                <w:szCs w:val="32"/>
                <w:lang w:val="en-US" w:eastAsia="zh-CN"/>
              </w:rPr>
              <w:t>(4)全院年度考核相关工作计划制定及实施。</w:t>
            </w:r>
          </w:p>
          <w:p>
            <w:pPr>
              <w:widowControl/>
              <w:spacing w:before="100" w:beforeAutospacing="1" w:after="100" w:afterAutospacing="1" w:line="360" w:lineRule="auto"/>
              <w:jc w:val="left"/>
              <w:rPr>
                <w:rFonts w:hint="default" w:ascii="宋体" w:cs="Times New Roman"/>
                <w:color w:val="3E3E3E"/>
                <w:kern w:val="0"/>
                <w:sz w:val="32"/>
                <w:szCs w:val="32"/>
                <w:lang w:val="en-US" w:eastAsia="zh-CN"/>
              </w:rPr>
            </w:pPr>
            <w:r>
              <w:rPr>
                <w:rFonts w:hint="default" w:ascii="宋体" w:cs="Times New Roman"/>
                <w:color w:val="3E3E3E"/>
                <w:kern w:val="0"/>
                <w:sz w:val="32"/>
                <w:szCs w:val="32"/>
                <w:lang w:val="en-US" w:eastAsia="zh-CN"/>
              </w:rPr>
              <w:t>(5)负责做好人员招聘、录用、调动的计划，以备实施。</w:t>
            </w:r>
          </w:p>
          <w:p>
            <w:pPr>
              <w:widowControl/>
              <w:spacing w:before="100" w:beforeAutospacing="1" w:after="100" w:afterAutospacing="1" w:line="360" w:lineRule="auto"/>
              <w:jc w:val="left"/>
              <w:rPr>
                <w:rFonts w:hint="default" w:ascii="宋体" w:cs="Times New Roman"/>
                <w:color w:val="3E3E3E"/>
                <w:kern w:val="0"/>
                <w:sz w:val="32"/>
                <w:szCs w:val="32"/>
                <w:lang w:val="en-US" w:eastAsia="zh-CN"/>
              </w:rPr>
            </w:pPr>
            <w:r>
              <w:rPr>
                <w:rFonts w:hint="default" w:ascii="宋体" w:cs="Times New Roman"/>
                <w:color w:val="3E3E3E"/>
                <w:kern w:val="0"/>
                <w:sz w:val="32"/>
                <w:szCs w:val="32"/>
                <w:lang w:val="en-US" w:eastAsia="zh-CN"/>
              </w:rPr>
              <w:t>(6)人事档案工作的调查研究，联系实际，及时提出建议和意见。</w:t>
            </w:r>
          </w:p>
          <w:p>
            <w:pPr>
              <w:widowControl/>
              <w:spacing w:before="100" w:beforeAutospacing="1" w:after="100" w:afterAutospacing="1" w:line="360" w:lineRule="auto"/>
              <w:jc w:val="left"/>
              <w:rPr>
                <w:rFonts w:hint="default" w:ascii="宋体" w:cs="Times New Roman"/>
                <w:color w:val="3E3E3E"/>
                <w:kern w:val="0"/>
                <w:sz w:val="32"/>
                <w:szCs w:val="32"/>
                <w:lang w:val="en-US" w:eastAsia="zh-CN"/>
              </w:rPr>
            </w:pPr>
            <w:r>
              <w:rPr>
                <w:rFonts w:hint="default" w:ascii="宋体" w:cs="Times New Roman"/>
                <w:color w:val="3E3E3E"/>
                <w:kern w:val="0"/>
                <w:sz w:val="32"/>
                <w:szCs w:val="32"/>
                <w:lang w:val="en-US" w:eastAsia="zh-CN"/>
              </w:rPr>
              <w:t>(7)完成上级交办的其它工作。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（五）公卫科</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(1)负责科室的业务、行政、经济管理和思想政治工作，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期向领导汇报工作情况。</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(2)度工作计划总结，做好全镇食品生产经营企业、饮食服务业、公共场所、生活饮用水、化妆品、</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学校卫生等各项监测任务规划安排，并组织实施。</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(3)每年中对室计划施情况进行检查评估，提出下半</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年工作意见。</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(4)参与业务工作实践，全面掌握食品行业、公共场所、供水单位、学校等预防性卫生监测情况。有计划地检查、指导基层的卫生监测工作。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(5)参与重点食品行业、公共场所、学校、供水单位以及与健康相关产品检测结果的卫生评价，做好日常监测结果卫生学评价发出前的审查把关工作。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（六）预防保健科</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(1)管理工作，安排科室业务工作、组织业务学习及民主生活会。</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(2)负责制定免疫规划全年工作计划并撰写工作总结，完成率 100%。</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(3)人员业务培训，对预防接种人员进行接种资质认证和审验考试，完成率100%。</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(4)负责织展对种免疫工作季度考核、“4.25”计划免疫宣传日及“7.28”世界肝炎日宣传活动。</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(5)负责疫苗使用管理，二类疫苗月销售情况核对，账物相符率 100%。</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(6)负责组织开展种证查验工作、麻苗查漏补种及糖丸补充免疫等工作。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7)负责免疫规划工作，督促完成一类疫苗接种率及其他各项工作。</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8)完成领导临时交办的其他任务。</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计划免疫工作人员岗位责任制</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(1)负责全镇接种率监测，按时上报免疫各类报表。(要求报表上报及时率完整率100%，国家免疫规划疫苗接种率 95%以上，扩大免疫规划苗接种率90%以上)</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(2)负责一类疫苗及冷链管理工作，二类疫苗的管理。每月核对库存，账物相符率 100%。负责冷链设备保养，冷链温度监测率 100%。</w:t>
            </w:r>
          </w:p>
          <w:p>
            <w:pPr>
              <w:widowControl/>
              <w:spacing w:before="100" w:beforeAutospacing="1" w:after="100" w:afterAutospacing="1" w:line="360" w:lineRule="auto"/>
              <w:jc w:val="left"/>
              <w:rPr>
                <w:rFonts w:hint="default" w:ascii="宋体" w:cs="Times New Roman"/>
                <w:color w:val="3E3E3E"/>
                <w:kern w:val="0"/>
                <w:sz w:val="32"/>
                <w:szCs w:val="32"/>
                <w:lang w:val="en-US" w:eastAsia="zh-CN"/>
              </w:rPr>
            </w:pPr>
          </w:p>
          <w:p>
            <w:pPr>
              <w:widowControl/>
              <w:spacing w:before="100" w:beforeAutospacing="1" w:after="100" w:afterAutospacing="1" w:line="360" w:lineRule="auto"/>
              <w:jc w:val="left"/>
              <w:rPr>
                <w:rFonts w:ascii="宋体" w:cs="Times New Roman"/>
                <w:color w:val="3E3E3E"/>
                <w:kern w:val="0"/>
                <w:sz w:val="32"/>
                <w:szCs w:val="32"/>
              </w:rPr>
            </w:pPr>
          </w:p>
        </w:tc>
      </w:tr>
    </w:tbl>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长春市</w:t>
      </w:r>
      <w:r>
        <w:rPr>
          <w:rFonts w:hint="eastAsia" w:ascii="宋体" w:hAnsi="宋体" w:cs="宋体"/>
          <w:color w:val="3E3E3E"/>
          <w:kern w:val="0"/>
          <w:sz w:val="32"/>
          <w:szCs w:val="32"/>
          <w:lang w:eastAsia="zh-CN"/>
        </w:rPr>
        <w:t>二道区</w:t>
      </w:r>
      <w:r>
        <w:rPr>
          <w:rFonts w:hint="eastAsia" w:ascii="宋体" w:hAnsi="宋体" w:cs="宋体"/>
          <w:color w:val="3E3E3E"/>
          <w:kern w:val="0"/>
          <w:sz w:val="32"/>
          <w:szCs w:val="32"/>
          <w:lang w:val="en-US" w:eastAsia="zh-CN"/>
        </w:rPr>
        <w:t>长青社区卫生服务中心</w:t>
      </w:r>
      <w:r>
        <w:rPr>
          <w:rFonts w:hint="eastAsia" w:ascii="宋体" w:hAnsi="宋体" w:cs="宋体"/>
          <w:color w:val="3E3E3E"/>
          <w:kern w:val="0"/>
          <w:sz w:val="32"/>
          <w:szCs w:val="32"/>
        </w:rPr>
        <w:t>，共计</w:t>
      </w:r>
      <w:r>
        <w:rPr>
          <w:rFonts w:hint="eastAsia" w:ascii="宋体" w:hAnsi="宋体" w:cs="宋体"/>
          <w:color w:val="3E3E3E"/>
          <w:kern w:val="0"/>
          <w:sz w:val="32"/>
          <w:szCs w:val="32"/>
          <w:lang w:val="en-US" w:eastAsia="zh-CN"/>
        </w:rPr>
        <w:t>1</w:t>
      </w:r>
      <w:r>
        <w:rPr>
          <w:rFonts w:hint="eastAsia" w:ascii="宋体" w:hAnsi="宋体" w:cs="宋体"/>
          <w:color w:val="3E3E3E"/>
          <w:kern w:val="0"/>
          <w:sz w:val="32"/>
          <w:szCs w:val="32"/>
        </w:rPr>
        <w:t>个预算单位。　</w:t>
      </w:r>
      <w:r>
        <w:rPr>
          <w:rFonts w:hint="eastAsia" w:ascii="宋体" w:hAnsi="宋体" w:cs="宋体"/>
          <w:color w:val="3E3E3E"/>
          <w:kern w:val="0"/>
          <w:sz w:val="32"/>
          <w:szCs w:val="32"/>
          <w:lang w:val="en-US" w:eastAsia="zh-CN"/>
        </w:rPr>
        <w:t xml:space="preserve">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长春市</w:t>
      </w:r>
      <w:r>
        <w:rPr>
          <w:rFonts w:hint="eastAsia" w:ascii="宋体" w:hAnsi="宋体" w:cs="宋体"/>
          <w:color w:val="3E3E3E"/>
          <w:kern w:val="0"/>
          <w:sz w:val="32"/>
          <w:szCs w:val="32"/>
          <w:lang w:eastAsia="zh-CN"/>
        </w:rPr>
        <w:t>二道区</w:t>
      </w:r>
      <w:r>
        <w:rPr>
          <w:rFonts w:hint="eastAsia" w:ascii="宋体" w:hAnsi="宋体" w:cs="宋体"/>
          <w:color w:val="3E3E3E"/>
          <w:kern w:val="0"/>
          <w:sz w:val="32"/>
          <w:szCs w:val="32"/>
          <w:lang w:val="en-US" w:eastAsia="zh-CN"/>
        </w:rPr>
        <w:t>长青社区卫生服务中心</w:t>
      </w:r>
      <w:r>
        <w:rPr>
          <w:rFonts w:hint="eastAsia" w:ascii="宋体" w:hAnsi="宋体" w:cs="宋体"/>
          <w:color w:val="3E3E3E"/>
          <w:kern w:val="0"/>
          <w:sz w:val="32"/>
          <w:szCs w:val="32"/>
        </w:rPr>
        <w:t>现有人员</w:t>
      </w:r>
      <w:r>
        <w:rPr>
          <w:rFonts w:hint="eastAsia" w:ascii="宋体" w:hAnsi="宋体" w:cs="宋体"/>
          <w:color w:val="3E3E3E"/>
          <w:kern w:val="0"/>
          <w:sz w:val="32"/>
          <w:szCs w:val="32"/>
          <w:lang w:val="en-US" w:eastAsia="zh-CN"/>
        </w:rPr>
        <w:t>98</w:t>
      </w:r>
      <w:r>
        <w:rPr>
          <w:rFonts w:hint="eastAsia" w:ascii="宋体" w:hAnsi="宋体" w:cs="宋体"/>
          <w:color w:val="3E3E3E"/>
          <w:kern w:val="0"/>
          <w:sz w:val="32"/>
          <w:szCs w:val="32"/>
        </w:rPr>
        <w:t>人，其中，在职人员</w:t>
      </w:r>
      <w:r>
        <w:rPr>
          <w:rFonts w:hint="eastAsia" w:ascii="宋体" w:hAnsi="宋体" w:cs="宋体"/>
          <w:color w:val="3E3E3E"/>
          <w:kern w:val="0"/>
          <w:sz w:val="32"/>
          <w:szCs w:val="32"/>
          <w:lang w:val="en-US" w:eastAsia="zh-CN"/>
        </w:rPr>
        <w:t>22</w:t>
      </w:r>
      <w:r>
        <w:rPr>
          <w:rFonts w:hint="eastAsia" w:ascii="宋体" w:hAnsi="宋体" w:cs="宋体"/>
          <w:color w:val="3E3E3E"/>
          <w:kern w:val="0"/>
          <w:sz w:val="32"/>
          <w:szCs w:val="32"/>
        </w:rPr>
        <w:t>人员，离退休人员</w:t>
      </w:r>
      <w:r>
        <w:rPr>
          <w:rFonts w:hint="eastAsia" w:ascii="宋体" w:hAnsi="宋体" w:cs="宋体"/>
          <w:color w:val="3E3E3E"/>
          <w:kern w:val="0"/>
          <w:sz w:val="32"/>
          <w:szCs w:val="32"/>
          <w:lang w:val="en-US" w:eastAsia="zh-CN"/>
        </w:rPr>
        <w:t>76</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797" w:type="dxa"/>
        <w:tblInd w:w="-106" w:type="dxa"/>
        <w:tblLayout w:type="fixed"/>
        <w:tblCellMar>
          <w:top w:w="0" w:type="dxa"/>
          <w:left w:w="108" w:type="dxa"/>
          <w:bottom w:w="0" w:type="dxa"/>
          <w:right w:w="108" w:type="dxa"/>
        </w:tblCellMar>
      </w:tblPr>
      <w:tblGrid>
        <w:gridCol w:w="3299"/>
        <w:gridCol w:w="805"/>
        <w:gridCol w:w="2081"/>
        <w:gridCol w:w="1002"/>
        <w:gridCol w:w="805"/>
        <w:gridCol w:w="805"/>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4104" w:type="dxa"/>
            <w:gridSpan w:val="2"/>
            <w:tcBorders>
              <w:top w:val="nil"/>
              <w:left w:val="nil"/>
              <w:bottom w:val="single" w:color="auto" w:sz="4" w:space="0"/>
              <w:right w:val="nil"/>
            </w:tcBorders>
            <w:vAlign w:val="bottom"/>
          </w:tcPr>
          <w:p>
            <w:pPr>
              <w:widowControl/>
              <w:jc w:val="center"/>
              <w:rPr>
                <w:rFonts w:hint="eastAsia" w:ascii="宋体" w:eastAsia="宋体" w:cs="Times New Roman"/>
                <w:kern w:val="0"/>
                <w:sz w:val="16"/>
                <w:szCs w:val="16"/>
                <w:lang w:eastAsia="zh-CN"/>
              </w:rPr>
            </w:pPr>
            <w:r>
              <w:rPr>
                <w:rFonts w:hint="eastAsia" w:ascii="宋体" w:hAnsi="宋体" w:cs="宋体"/>
                <w:kern w:val="0"/>
                <w:sz w:val="16"/>
                <w:szCs w:val="16"/>
              </w:rPr>
              <w:t>部门（单位）名称：</w:t>
            </w:r>
            <w:r>
              <w:rPr>
                <w:rFonts w:hint="eastAsia" w:ascii="宋体" w:hAnsi="宋体" w:cs="宋体"/>
                <w:kern w:val="0"/>
                <w:sz w:val="16"/>
                <w:szCs w:val="16"/>
                <w:lang w:val="en-US" w:eastAsia="zh-CN"/>
              </w:rPr>
              <w:t>二道区长青社区卫生服务中心</w:t>
            </w:r>
          </w:p>
        </w:tc>
        <w:tc>
          <w:tcPr>
            <w:tcW w:w="2081"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002"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610"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p>
        </w:tc>
        <w:tc>
          <w:tcPr>
            <w:tcW w:w="4693"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p>
        </w:tc>
      </w:tr>
      <w:tr>
        <w:tblPrEx>
          <w:tblCellMar>
            <w:top w:w="0" w:typ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08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目（按功能分类）</w:t>
            </w:r>
          </w:p>
        </w:tc>
        <w:tc>
          <w:tcPr>
            <w:tcW w:w="100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color w:val="008000"/>
                <w:kern w:val="0"/>
                <w:sz w:val="16"/>
                <w:szCs w:val="16"/>
                <w:lang w:val="en-US" w:eastAsia="zh-CN"/>
              </w:rPr>
              <w:t>444.23</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一、一般公共服务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hAnsi="宋体" w:cs="宋体"/>
                <w:b/>
                <w:bCs/>
                <w:color w:val="0000FF"/>
                <w:kern w:val="0"/>
                <w:sz w:val="16"/>
                <w:szCs w:val="16"/>
                <w:lang w:val="en-US" w:eastAsia="zh-CN"/>
              </w:rPr>
              <w:t>444.23</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6"/>
                <w:szCs w:val="16"/>
                <w:lang w:val="en-US" w:eastAsia="zh-CN"/>
              </w:rPr>
            </w:pPr>
            <w:r>
              <w:rPr>
                <w:rFonts w:hint="eastAsia" w:ascii="宋体" w:cs="Times New Roman"/>
                <w:b/>
                <w:bCs/>
                <w:color w:val="000000"/>
                <w:kern w:val="0"/>
                <w:sz w:val="16"/>
                <w:szCs w:val="16"/>
                <w:lang w:val="en-US" w:eastAsia="zh-CN"/>
              </w:rPr>
              <w:t>444.23</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8000"/>
                <w:kern w:val="0"/>
                <w:sz w:val="16"/>
                <w:szCs w:val="16"/>
                <w:lang w:val="en-US" w:eastAsia="zh-CN"/>
              </w:rPr>
              <w:t>444.23</w:t>
            </w: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二、住房保障支出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纳入预算管理的行政性收费安排的拨款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三、医疗卫生</w:t>
            </w:r>
          </w:p>
        </w:tc>
        <w:tc>
          <w:tcPr>
            <w:tcW w:w="1002" w:type="dxa"/>
            <w:tcBorders>
              <w:top w:val="nil"/>
              <w:left w:val="nil"/>
              <w:bottom w:val="single" w:color="auto" w:sz="4" w:space="0"/>
              <w:right w:val="single" w:color="auto" w:sz="4" w:space="0"/>
            </w:tcBorders>
            <w:vAlign w:val="bottom"/>
          </w:tcPr>
          <w:p>
            <w:pPr>
              <w:widowControl/>
              <w:jc w:val="center"/>
              <w:rPr>
                <w:rFonts w:ascii="宋体" w:cs="Times New Roman"/>
                <w:b/>
                <w:bCs/>
                <w:color w:val="0000FF"/>
                <w:kern w:val="0"/>
                <w:sz w:val="16"/>
                <w:szCs w:val="16"/>
              </w:rPr>
            </w:pP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四、环境保护</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hint="eastAsia" w:ascii="宋体" w:eastAsia="宋体" w:cs="Times New Roman"/>
                <w:color w:val="000000"/>
                <w:kern w:val="0"/>
                <w:sz w:val="16"/>
                <w:szCs w:val="16"/>
                <w:lang w:val="en-US" w:eastAsia="zh-CN"/>
              </w:rPr>
            </w:pPr>
            <w:r>
              <w:rPr>
                <w:rFonts w:ascii="宋体" w:hAnsi="宋体" w:cs="宋体"/>
                <w:color w:val="000000"/>
                <w:kern w:val="0"/>
                <w:sz w:val="16"/>
                <w:szCs w:val="16"/>
              </w:rPr>
              <w:t xml:space="preserve">      </w:t>
            </w:r>
            <w:r>
              <w:rPr>
                <w:rFonts w:hint="eastAsia" w:ascii="宋体" w:hAnsi="宋体" w:cs="宋体"/>
                <w:color w:val="000000"/>
                <w:kern w:val="0"/>
                <w:sz w:val="16"/>
                <w:szCs w:val="16"/>
              </w:rPr>
              <w:t>国有资产有偿使用收入</w:t>
            </w:r>
            <w:r>
              <w:rPr>
                <w:rFonts w:hint="eastAsia" w:ascii="宋体" w:hAnsi="宋体" w:cs="宋体"/>
                <w:color w:val="000000"/>
                <w:kern w:val="0"/>
                <w:sz w:val="16"/>
                <w:szCs w:val="16"/>
                <w:lang w:val="en-US" w:eastAsia="zh-CN"/>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五、社会保险基金支出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专项收入安排的拨款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六、资源勘探电力信息等事务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ascii="宋体" w:hAnsi="宋体" w:cs="宋体"/>
                <w:b/>
                <w:bCs/>
                <w:kern w:val="0"/>
                <w:sz w:val="16"/>
                <w:szCs w:val="16"/>
              </w:rPr>
              <w:t xml:space="preserve">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城维费拨款收入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专户核拨的预算外资金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批准留用的预算外资金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both"/>
              <w:rPr>
                <w:rFonts w:hint="default" w:ascii="宋体" w:eastAsia="宋体" w:cs="Times New Roman"/>
                <w:color w:val="008000"/>
                <w:kern w:val="0"/>
                <w:sz w:val="16"/>
                <w:szCs w:val="16"/>
                <w:lang w:val="en-US" w:eastAsia="zh-CN"/>
              </w:rPr>
            </w:pPr>
            <w:r>
              <w:rPr>
                <w:rFonts w:hint="eastAsia" w:ascii="宋体" w:cs="Times New Roman"/>
                <w:color w:val="008000"/>
                <w:kern w:val="0"/>
                <w:sz w:val="16"/>
                <w:szCs w:val="16"/>
                <w:lang w:val="en-US" w:eastAsia="zh-CN"/>
              </w:rPr>
              <w:t>444.23</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color w:val="008000"/>
                <w:kern w:val="0"/>
                <w:sz w:val="16"/>
                <w:szCs w:val="16"/>
                <w:lang w:val="en-US" w:eastAsia="zh-CN"/>
              </w:rPr>
              <w:t>444.23</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十、上年结转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转移性支出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结转下年</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财政拨款结余</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444.23</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color w:val="008000"/>
                <w:kern w:val="0"/>
                <w:sz w:val="16"/>
                <w:szCs w:val="16"/>
                <w:lang w:val="en-US" w:eastAsia="zh-CN"/>
              </w:rPr>
              <w:t>444.23</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bl>
    <w:tbl>
      <w:tblPr>
        <w:tblStyle w:val="5"/>
        <w:tblpPr w:leftFromText="180" w:rightFromText="180" w:vertAnchor="text" w:horzAnchor="page" w:tblpX="356" w:tblpY="1453"/>
        <w:tblOverlap w:val="never"/>
        <w:tblW w:w="111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3"/>
        <w:gridCol w:w="394"/>
        <w:gridCol w:w="394"/>
        <w:gridCol w:w="1967"/>
        <w:gridCol w:w="1121"/>
        <w:gridCol w:w="1147"/>
        <w:gridCol w:w="990"/>
        <w:gridCol w:w="1299"/>
        <w:gridCol w:w="986"/>
        <w:gridCol w:w="778"/>
        <w:gridCol w:w="778"/>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48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表2</w:t>
            </w:r>
          </w:p>
        </w:tc>
        <w:tc>
          <w:tcPr>
            <w:tcW w:w="394" w:type="dxa"/>
            <w:tcBorders>
              <w:top w:val="nil"/>
              <w:left w:val="nil"/>
              <w:bottom w:val="nil"/>
              <w:right w:val="nil"/>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394" w:type="dxa"/>
            <w:tcBorders>
              <w:top w:val="nil"/>
              <w:left w:val="nil"/>
              <w:bottom w:val="nil"/>
              <w:right w:val="nil"/>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967" w:type="dxa"/>
            <w:tcBorders>
              <w:top w:val="nil"/>
              <w:left w:val="nil"/>
              <w:bottom w:val="nil"/>
              <w:right w:val="nil"/>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2268" w:type="dxa"/>
            <w:gridSpan w:val="2"/>
            <w:tcBorders>
              <w:top w:val="nil"/>
              <w:left w:val="nil"/>
              <w:bottom w:val="nil"/>
              <w:right w:val="nil"/>
            </w:tcBorders>
            <w:shd w:val="clear" w:color="auto" w:fill="auto"/>
            <w:vAlign w:val="center"/>
          </w:tcPr>
          <w:p>
            <w:pPr>
              <w:jc w:val="left"/>
              <w:rPr>
                <w:rFonts w:hint="default" w:ascii="华文细黑" w:hAnsi="华文细黑" w:eastAsia="华文细黑" w:cs="华文细黑"/>
                <w:i w:val="0"/>
                <w:iCs w:val="0"/>
                <w:color w:val="000000"/>
                <w:sz w:val="16"/>
                <w:szCs w:val="16"/>
                <w:u w:val="none"/>
              </w:rPr>
            </w:pPr>
          </w:p>
        </w:tc>
        <w:tc>
          <w:tcPr>
            <w:tcW w:w="990" w:type="dxa"/>
            <w:tcBorders>
              <w:top w:val="nil"/>
              <w:left w:val="nil"/>
              <w:bottom w:val="nil"/>
              <w:right w:val="nil"/>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299" w:type="dxa"/>
            <w:tcBorders>
              <w:top w:val="nil"/>
              <w:left w:val="nil"/>
              <w:bottom w:val="nil"/>
              <w:right w:val="nil"/>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986" w:type="dxa"/>
            <w:tcBorders>
              <w:top w:val="nil"/>
              <w:left w:val="nil"/>
              <w:bottom w:val="nil"/>
              <w:right w:val="nil"/>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778" w:type="dxa"/>
            <w:tcBorders>
              <w:top w:val="nil"/>
              <w:left w:val="nil"/>
              <w:bottom w:val="nil"/>
              <w:right w:val="nil"/>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557" w:type="dxa"/>
            <w:gridSpan w:val="2"/>
            <w:tcBorders>
              <w:top w:val="nil"/>
              <w:left w:val="nil"/>
              <w:bottom w:val="nil"/>
              <w:right w:val="nil"/>
            </w:tcBorders>
            <w:shd w:val="clear" w:color="auto" w:fill="auto"/>
            <w:vAlign w:val="center"/>
          </w:tcPr>
          <w:p>
            <w:pPr>
              <w:jc w:val="right"/>
              <w:rPr>
                <w:rFonts w:hint="default" w:ascii="华文细黑" w:hAnsi="华文细黑" w:eastAsia="华文细黑" w:cs="华文细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11116"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483" w:type="dxa"/>
            <w:tcBorders>
              <w:top w:val="nil"/>
              <w:left w:val="nil"/>
              <w:bottom w:val="single" w:color="000000" w:sz="4" w:space="0"/>
              <w:right w:val="nil"/>
            </w:tcBorders>
            <w:shd w:val="clear" w:color="auto" w:fill="auto"/>
            <w:noWrap/>
            <w:vAlign w:val="center"/>
          </w:tcPr>
          <w:p>
            <w:pPr>
              <w:jc w:val="left"/>
              <w:rPr>
                <w:rFonts w:hint="default" w:ascii="华文细黑" w:hAnsi="华文细黑" w:eastAsia="华文细黑" w:cs="华文细黑"/>
                <w:i w:val="0"/>
                <w:iCs w:val="0"/>
                <w:color w:val="000000"/>
                <w:sz w:val="16"/>
                <w:szCs w:val="16"/>
                <w:u w:val="none"/>
              </w:rPr>
            </w:pPr>
          </w:p>
        </w:tc>
        <w:tc>
          <w:tcPr>
            <w:tcW w:w="394" w:type="dxa"/>
            <w:tcBorders>
              <w:top w:val="nil"/>
              <w:left w:val="nil"/>
              <w:bottom w:val="single" w:color="000000" w:sz="4" w:space="0"/>
              <w:right w:val="nil"/>
            </w:tcBorders>
            <w:shd w:val="clear" w:color="auto" w:fill="auto"/>
            <w:noWrap/>
            <w:vAlign w:val="center"/>
          </w:tcPr>
          <w:p>
            <w:pPr>
              <w:jc w:val="left"/>
              <w:rPr>
                <w:rFonts w:hint="default" w:ascii="华文细黑" w:hAnsi="华文细黑" w:eastAsia="华文细黑" w:cs="华文细黑"/>
                <w:i w:val="0"/>
                <w:iCs w:val="0"/>
                <w:color w:val="000000"/>
                <w:sz w:val="16"/>
                <w:szCs w:val="16"/>
                <w:u w:val="none"/>
              </w:rPr>
            </w:pPr>
          </w:p>
        </w:tc>
        <w:tc>
          <w:tcPr>
            <w:tcW w:w="394" w:type="dxa"/>
            <w:tcBorders>
              <w:top w:val="nil"/>
              <w:left w:val="nil"/>
              <w:bottom w:val="single" w:color="000000" w:sz="4" w:space="0"/>
              <w:right w:val="nil"/>
            </w:tcBorders>
            <w:shd w:val="clear" w:color="auto" w:fill="auto"/>
            <w:noWrap/>
            <w:vAlign w:val="center"/>
          </w:tcPr>
          <w:p>
            <w:pPr>
              <w:jc w:val="left"/>
              <w:rPr>
                <w:rFonts w:hint="default" w:ascii="华文细黑" w:hAnsi="华文细黑" w:eastAsia="华文细黑" w:cs="华文细黑"/>
                <w:i w:val="0"/>
                <w:iCs w:val="0"/>
                <w:color w:val="000000"/>
                <w:sz w:val="16"/>
                <w:szCs w:val="16"/>
                <w:u w:val="none"/>
              </w:rPr>
            </w:pPr>
          </w:p>
        </w:tc>
        <w:tc>
          <w:tcPr>
            <w:tcW w:w="1967" w:type="dxa"/>
            <w:tcBorders>
              <w:top w:val="nil"/>
              <w:left w:val="nil"/>
              <w:bottom w:val="single" w:color="000000" w:sz="4" w:space="0"/>
              <w:right w:val="nil"/>
            </w:tcBorders>
            <w:shd w:val="clear" w:color="auto" w:fill="auto"/>
            <w:noWrap/>
            <w:vAlign w:val="center"/>
          </w:tcPr>
          <w:p>
            <w:pPr>
              <w:jc w:val="left"/>
              <w:rPr>
                <w:rFonts w:hint="default" w:ascii="华文细黑" w:hAnsi="华文细黑" w:eastAsia="华文细黑" w:cs="华文细黑"/>
                <w:i w:val="0"/>
                <w:iCs w:val="0"/>
                <w:color w:val="000000"/>
                <w:sz w:val="16"/>
                <w:szCs w:val="16"/>
                <w:u w:val="none"/>
              </w:rPr>
            </w:pPr>
          </w:p>
        </w:tc>
        <w:tc>
          <w:tcPr>
            <w:tcW w:w="1121" w:type="dxa"/>
            <w:tcBorders>
              <w:top w:val="nil"/>
              <w:left w:val="nil"/>
              <w:bottom w:val="single" w:color="000000" w:sz="4" w:space="0"/>
              <w:right w:val="nil"/>
            </w:tcBorders>
            <w:shd w:val="clear" w:color="auto" w:fill="auto"/>
            <w:noWrap/>
            <w:vAlign w:val="center"/>
          </w:tcPr>
          <w:p>
            <w:pPr>
              <w:jc w:val="left"/>
              <w:rPr>
                <w:rFonts w:hint="default" w:ascii="华文细黑" w:hAnsi="华文细黑" w:eastAsia="华文细黑" w:cs="华文细黑"/>
                <w:i w:val="0"/>
                <w:iCs w:val="0"/>
                <w:color w:val="000000"/>
                <w:sz w:val="16"/>
                <w:szCs w:val="16"/>
                <w:u w:val="none"/>
              </w:rPr>
            </w:pPr>
          </w:p>
        </w:tc>
        <w:tc>
          <w:tcPr>
            <w:tcW w:w="1147" w:type="dxa"/>
            <w:tcBorders>
              <w:top w:val="nil"/>
              <w:left w:val="nil"/>
              <w:bottom w:val="nil"/>
              <w:right w:val="nil"/>
            </w:tcBorders>
            <w:shd w:val="clear" w:color="auto" w:fill="auto"/>
            <w:noWrap/>
            <w:vAlign w:val="center"/>
          </w:tcPr>
          <w:p>
            <w:pPr>
              <w:jc w:val="left"/>
              <w:rPr>
                <w:rFonts w:hint="default" w:ascii="华文细黑" w:hAnsi="华文细黑" w:eastAsia="华文细黑" w:cs="华文细黑"/>
                <w:i w:val="0"/>
                <w:iCs w:val="0"/>
                <w:color w:val="000000"/>
                <w:sz w:val="16"/>
                <w:szCs w:val="16"/>
                <w:u w:val="none"/>
              </w:rPr>
            </w:pPr>
          </w:p>
        </w:tc>
        <w:tc>
          <w:tcPr>
            <w:tcW w:w="990" w:type="dxa"/>
            <w:tcBorders>
              <w:top w:val="nil"/>
              <w:left w:val="nil"/>
              <w:bottom w:val="nil"/>
              <w:right w:val="nil"/>
            </w:tcBorders>
            <w:shd w:val="clear" w:color="auto" w:fill="auto"/>
            <w:noWrap/>
            <w:vAlign w:val="center"/>
          </w:tcPr>
          <w:p>
            <w:pPr>
              <w:jc w:val="left"/>
              <w:rPr>
                <w:rFonts w:hint="default" w:ascii="华文细黑" w:hAnsi="华文细黑" w:eastAsia="华文细黑" w:cs="华文细黑"/>
                <w:i w:val="0"/>
                <w:iCs w:val="0"/>
                <w:color w:val="000000"/>
                <w:sz w:val="16"/>
                <w:szCs w:val="16"/>
                <w:u w:val="none"/>
              </w:rPr>
            </w:pPr>
          </w:p>
        </w:tc>
        <w:tc>
          <w:tcPr>
            <w:tcW w:w="1299" w:type="dxa"/>
            <w:tcBorders>
              <w:top w:val="nil"/>
              <w:left w:val="nil"/>
              <w:bottom w:val="nil"/>
              <w:right w:val="nil"/>
            </w:tcBorders>
            <w:shd w:val="clear" w:color="auto" w:fill="auto"/>
            <w:noWrap/>
            <w:vAlign w:val="center"/>
          </w:tcPr>
          <w:p>
            <w:pPr>
              <w:jc w:val="left"/>
              <w:rPr>
                <w:rFonts w:hint="default" w:ascii="华文细黑" w:hAnsi="华文细黑" w:eastAsia="华文细黑" w:cs="华文细黑"/>
                <w:i w:val="0"/>
                <w:iCs w:val="0"/>
                <w:color w:val="000000"/>
                <w:sz w:val="16"/>
                <w:szCs w:val="16"/>
                <w:u w:val="none"/>
              </w:rPr>
            </w:pPr>
          </w:p>
        </w:tc>
        <w:tc>
          <w:tcPr>
            <w:tcW w:w="986" w:type="dxa"/>
            <w:tcBorders>
              <w:top w:val="nil"/>
              <w:left w:val="nil"/>
              <w:bottom w:val="nil"/>
              <w:right w:val="nil"/>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778" w:type="dxa"/>
            <w:tcBorders>
              <w:top w:val="nil"/>
              <w:left w:val="nil"/>
              <w:bottom w:val="single" w:color="000000" w:sz="4" w:space="0"/>
              <w:right w:val="nil"/>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1557" w:type="dxa"/>
            <w:gridSpan w:val="2"/>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科目编码</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科目名称</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总计</w:t>
            </w:r>
          </w:p>
        </w:tc>
        <w:tc>
          <w:tcPr>
            <w:tcW w:w="34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基本支出</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项目                                             支出</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事业                                     单位                           经营                             支出</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对附属                                           单位补                                      助支出</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上缴                                            上级                                                         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类</w:t>
            </w:r>
          </w:p>
        </w:tc>
        <w:tc>
          <w:tcPr>
            <w:tcW w:w="394"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款</w:t>
            </w:r>
          </w:p>
        </w:tc>
        <w:tc>
          <w:tcPr>
            <w:tcW w:w="394"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项</w:t>
            </w: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华文细黑" w:hAnsi="华文细黑" w:eastAsia="华文细黑" w:cs="华文细黑"/>
                <w:i w:val="0"/>
                <w:iCs w:val="0"/>
                <w:color w:val="000000"/>
                <w:sz w:val="16"/>
                <w:szCs w:val="16"/>
                <w:u w:val="none"/>
              </w:rPr>
            </w:pPr>
          </w:p>
        </w:tc>
        <w:tc>
          <w:tcPr>
            <w:tcW w:w="34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华文细黑" w:hAnsi="华文细黑" w:eastAsia="华文细黑" w:cs="华文细黑"/>
                <w:i w:val="0"/>
                <w:iCs w:val="0"/>
                <w:color w:val="000000"/>
                <w:sz w:val="16"/>
                <w:szCs w:val="16"/>
                <w:u w:val="none"/>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8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39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39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华文细黑" w:hAnsi="华文细黑" w:eastAsia="华文细黑" w:cs="华文细黑"/>
                <w:i w:val="0"/>
                <w:iCs w:val="0"/>
                <w:color w:val="000000"/>
                <w:sz w:val="16"/>
                <w:szCs w:val="16"/>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合计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人员经费</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公用经费</w:t>
            </w: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细黑" w:hAnsi="华文细黑" w:eastAsia="华文细黑" w:cs="华文细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栏次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3</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5</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7</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201</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例：一般公共服务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lang w:val="en-US"/>
              </w:rPr>
            </w:pPr>
            <w:r>
              <w:rPr>
                <w:rFonts w:hint="eastAsia" w:ascii="宋体" w:hAnsi="宋体" w:cs="宋体"/>
                <w:color w:val="008000"/>
                <w:kern w:val="0"/>
                <w:sz w:val="16"/>
                <w:szCs w:val="16"/>
                <w:lang w:val="en-US" w:eastAsia="zh-CN"/>
              </w:rPr>
              <w:t>444.23</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lang w:val="en-US" w:eastAsia="zh-CN"/>
              </w:rPr>
            </w:pPr>
            <w:r>
              <w:rPr>
                <w:rFonts w:hint="eastAsia" w:ascii="Arial" w:hAnsi="Arial" w:cs="Arial"/>
                <w:i w:val="0"/>
                <w:iCs w:val="0"/>
                <w:color w:val="000000"/>
                <w:sz w:val="16"/>
                <w:szCs w:val="16"/>
                <w:u w:val="none"/>
                <w:lang w:val="en-US" w:eastAsia="zh-CN"/>
              </w:rPr>
              <w:t>444.23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kern w:val="0"/>
                <w:sz w:val="24"/>
                <w:szCs w:val="24"/>
                <w:u w:val="none"/>
                <w:lang w:val="en-US" w:eastAsia="zh-CN" w:bidi="ar"/>
              </w:rPr>
              <w:t>198</w:t>
            </w:r>
            <w:r>
              <w:rPr>
                <w:rFonts w:hint="default" w:ascii="Times New Roman" w:hAnsi="Times New Roman" w:eastAsia="宋体" w:cs="Times New Roman"/>
                <w:i w:val="0"/>
                <w:iCs w:val="0"/>
                <w:color w:val="000000"/>
                <w:kern w:val="0"/>
                <w:sz w:val="24"/>
                <w:szCs w:val="24"/>
                <w:u w:val="none"/>
                <w:lang w:val="en-US" w:eastAsia="zh-CN" w:bidi="ar"/>
              </w:rPr>
              <w:t xml:space="preserve"> </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16"/>
                <w:szCs w:val="16"/>
                <w:u w:val="none"/>
                <w:lang w:val="en-US" w:eastAsia="zh-CN"/>
              </w:rPr>
            </w:pPr>
            <w:r>
              <w:rPr>
                <w:rFonts w:hint="eastAsia" w:ascii="Arial" w:hAnsi="Arial" w:cs="Arial"/>
                <w:i w:val="0"/>
                <w:iCs w:val="0"/>
                <w:color w:val="000000"/>
                <w:sz w:val="16"/>
                <w:szCs w:val="16"/>
                <w:u w:val="none"/>
                <w:lang w:val="en-US" w:eastAsia="zh-CN"/>
              </w:rPr>
              <w:t>246.23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201</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01</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 xml:space="preserve">    人大事务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201</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01</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01</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 xml:space="preserve">    行政运行</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华文细黑" w:hAnsi="华文细黑" w:eastAsia="华文细黑" w:cs="华文细黑"/>
                <w:i w:val="0"/>
                <w:iCs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细黑" w:hAnsi="华文细黑" w:eastAsia="华文细黑" w:cs="华文细黑"/>
                <w:i w:val="0"/>
                <w:iCs w:val="0"/>
                <w:color w:val="000000"/>
                <w:sz w:val="16"/>
                <w:szCs w:val="16"/>
                <w:u w:val="none"/>
              </w:rPr>
            </w:pPr>
            <w:r>
              <w:rPr>
                <w:rFonts w:hint="default" w:ascii="华文细黑" w:hAnsi="华文细黑" w:eastAsia="华文细黑" w:cs="华文细黑"/>
                <w:i w:val="0"/>
                <w:iCs w:val="0"/>
                <w:color w:val="000000"/>
                <w:kern w:val="0"/>
                <w:sz w:val="16"/>
                <w:szCs w:val="16"/>
                <w:u w:val="none"/>
                <w:lang w:val="en-US" w:eastAsia="zh-CN" w:bidi="ar"/>
              </w:rPr>
              <w:t>总  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lang w:val="en-US"/>
              </w:rPr>
            </w:pPr>
            <w:r>
              <w:rPr>
                <w:rFonts w:hint="eastAsia" w:ascii="Arial" w:hAnsi="Arial" w:cs="Arial"/>
                <w:i w:val="0"/>
                <w:iCs w:val="0"/>
                <w:color w:val="000000"/>
                <w:kern w:val="0"/>
                <w:sz w:val="16"/>
                <w:szCs w:val="16"/>
                <w:u w:val="none"/>
                <w:lang w:val="en-US" w:eastAsia="zh-CN" w:bidi="ar"/>
              </w:rPr>
              <w:t>444.23</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lang w:val="en-US"/>
              </w:rPr>
            </w:pPr>
            <w:r>
              <w:rPr>
                <w:rFonts w:hint="eastAsia" w:ascii="Arial" w:hAnsi="Arial" w:cs="Arial"/>
                <w:i w:val="0"/>
                <w:iCs w:val="0"/>
                <w:color w:val="000000"/>
                <w:kern w:val="0"/>
                <w:sz w:val="16"/>
                <w:szCs w:val="16"/>
                <w:u w:val="none"/>
                <w:lang w:val="en-US" w:eastAsia="zh-CN" w:bidi="ar"/>
              </w:rPr>
              <w:t>444.23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iCs w:val="0"/>
                <w:color w:val="000000"/>
                <w:sz w:val="16"/>
                <w:szCs w:val="16"/>
                <w:u w:val="none"/>
                <w:lang w:val="en-US" w:eastAsia="zh-CN"/>
              </w:rPr>
            </w:pPr>
            <w:r>
              <w:rPr>
                <w:rFonts w:hint="eastAsia" w:ascii="Arial" w:hAnsi="Arial" w:cs="Arial"/>
                <w:i w:val="0"/>
                <w:iCs w:val="0"/>
                <w:color w:val="000000"/>
                <w:sz w:val="16"/>
                <w:szCs w:val="16"/>
                <w:u w:val="none"/>
                <w:lang w:val="en-US" w:eastAsia="zh-CN"/>
              </w:rPr>
              <w:t>198</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16"/>
                <w:szCs w:val="16"/>
                <w:u w:val="none"/>
                <w:lang w:val="en-US" w:eastAsia="zh-CN"/>
              </w:rPr>
            </w:pPr>
            <w:r>
              <w:rPr>
                <w:rFonts w:hint="eastAsia" w:ascii="Arial" w:hAnsi="Arial" w:cs="Arial"/>
                <w:i w:val="0"/>
                <w:iCs w:val="0"/>
                <w:color w:val="000000"/>
                <w:sz w:val="16"/>
                <w:szCs w:val="16"/>
                <w:u w:val="none"/>
                <w:lang w:val="en-US" w:eastAsia="zh-CN"/>
              </w:rPr>
              <w:t>246.23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W w:w="92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42"/>
        <w:gridCol w:w="1976"/>
        <w:gridCol w:w="1488"/>
        <w:gridCol w:w="1488"/>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314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表3</w:t>
            </w:r>
          </w:p>
        </w:tc>
        <w:tc>
          <w:tcPr>
            <w:tcW w:w="163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一般公共预算基本支出预算表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2023</w:t>
            </w:r>
            <w:r>
              <w:rPr>
                <w:rFonts w:hint="eastAsia" w:ascii="宋体" w:hAnsi="宋体" w:eastAsia="宋体" w:cs="宋体"/>
                <w:i w:val="0"/>
                <w:iCs w:val="0"/>
                <w:color w:val="000000"/>
                <w:kern w:val="0"/>
                <w:sz w:val="22"/>
                <w:szCs w:val="22"/>
                <w:u w:val="none"/>
                <w:lang w:val="en-US" w:eastAsia="zh-CN" w:bidi="ar"/>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8315" w:type="dxa"/>
        <w:tblInd w:w="-106" w:type="dxa"/>
        <w:tblLayout w:type="fixed"/>
        <w:tblCellMar>
          <w:top w:w="0" w:type="dxa"/>
          <w:left w:w="108" w:type="dxa"/>
          <w:bottom w:w="0" w:type="dxa"/>
          <w:right w:w="108" w:type="dxa"/>
        </w:tblCellMar>
      </w:tblPr>
      <w:tblGrid>
        <w:gridCol w:w="3174"/>
        <w:gridCol w:w="926"/>
        <w:gridCol w:w="1680"/>
        <w:gridCol w:w="2535"/>
      </w:tblGrid>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w:t>
            </w:r>
            <w:r>
              <w:rPr>
                <w:rFonts w:hint="eastAsia" w:ascii="宋体" w:hAnsi="宋体" w:cs="宋体"/>
                <w:color w:val="000000"/>
                <w:kern w:val="0"/>
                <w:sz w:val="18"/>
                <w:szCs w:val="18"/>
                <w:lang w:val="en-US" w:eastAsia="zh-CN"/>
              </w:rPr>
              <w:t>长青社区卫生服务中心</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w:t>
            </w:r>
            <w:r>
              <w:rPr>
                <w:rFonts w:ascii="Times New Roman" w:hAnsi="Times New Roman" w:cs="Times New Roman"/>
                <w:b/>
                <w:bCs/>
                <w:color w:val="000000"/>
                <w:kern w:val="0"/>
                <w:sz w:val="18"/>
                <w:szCs w:val="18"/>
              </w:rPr>
              <w:t xml:space="preserve">    </w:t>
            </w:r>
            <w:r>
              <w:rPr>
                <w:rFonts w:hint="eastAsia" w:ascii="宋体" w:hAnsi="宋体" w:cs="宋体"/>
                <w:b/>
                <w:bCs/>
                <w:color w:val="000000"/>
                <w:kern w:val="0"/>
                <w:sz w:val="18"/>
                <w:szCs w:val="18"/>
              </w:rPr>
              <w:t>目</w:t>
            </w:r>
          </w:p>
        </w:tc>
        <w:tc>
          <w:tcPr>
            <w:tcW w:w="92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2017</w:t>
            </w:r>
            <w:r>
              <w:rPr>
                <w:rFonts w:hint="eastAsia" w:ascii="宋体" w:hAnsi="宋体" w:cs="宋体"/>
                <w:b/>
                <w:bCs/>
                <w:color w:val="000000"/>
                <w:kern w:val="0"/>
                <w:sz w:val="18"/>
                <w:szCs w:val="18"/>
              </w:rPr>
              <w:t>年预算数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w:t>
            </w:r>
            <w:r>
              <w:rPr>
                <w:rFonts w:ascii="Times New Roman" w:hAnsi="Times New Roman" w:cs="Times New Roman"/>
                <w:b/>
                <w:bCs/>
                <w:color w:val="000000"/>
                <w:kern w:val="0"/>
                <w:sz w:val="18"/>
                <w:szCs w:val="18"/>
              </w:rPr>
              <w:t>2016</w:t>
            </w:r>
            <w:r>
              <w:rPr>
                <w:rFonts w:hint="eastAsia" w:ascii="宋体" w:hAnsi="宋体" w:cs="宋体"/>
                <w:b/>
                <w:bCs/>
                <w:color w:val="000000"/>
                <w:kern w:val="0"/>
                <w:sz w:val="18"/>
                <w:szCs w:val="18"/>
              </w:rPr>
              <w:t>年预算数增减</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计</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ascii="华文细黑" w:hAnsi="华文细黑" w:eastAsia="华文细黑" w:cs="华文细黑"/>
                <w:color w:val="000000"/>
                <w:kern w:val="0"/>
                <w:sz w:val="18"/>
                <w:szCs w:val="18"/>
              </w:rPr>
              <w:t>0</w:t>
            </w: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left"/>
              <w:rPr>
                <w:rFonts w:hint="eastAsia" w:ascii="Arial" w:hAnsi="Arial" w:eastAsia="宋体" w:cs="Arial"/>
                <w:color w:val="000000"/>
                <w:kern w:val="0"/>
                <w:sz w:val="18"/>
                <w:szCs w:val="18"/>
                <w:lang w:val="en-US" w:eastAsia="zh-CN"/>
              </w:rPr>
            </w:pPr>
            <w:r>
              <w:rPr>
                <w:rFonts w:hint="eastAsia" w:ascii="Arial" w:hAnsi="Arial" w:cs="宋体"/>
                <w:color w:val="000000"/>
                <w:kern w:val="0"/>
                <w:sz w:val="18"/>
                <w:szCs w:val="18"/>
              </w:rPr>
              <w:t>　</w:t>
            </w:r>
            <w:r>
              <w:rPr>
                <w:rFonts w:hint="eastAsia" w:ascii="Arial" w:hAnsi="Arial" w:cs="宋体"/>
                <w:color w:val="000000"/>
                <w:kern w:val="0"/>
                <w:sz w:val="18"/>
                <w:szCs w:val="18"/>
                <w:lang w:val="en-US" w:eastAsia="zh-CN"/>
              </w:rPr>
              <w:t xml:space="preserve">             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说明：</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的单位范围包括部门本级及所属</w:t>
            </w:r>
            <w:r>
              <w:rPr>
                <w:rFonts w:hint="eastAsia" w:ascii="Times New Roman" w:hAnsi="Times New Roman" w:cs="Times New Roman"/>
                <w:color w:val="000000"/>
                <w:kern w:val="0"/>
                <w:sz w:val="18"/>
                <w:szCs w:val="18"/>
                <w:u w:val="single"/>
                <w:lang w:val="en-US" w:eastAsia="zh-CN"/>
              </w:rPr>
              <w:t>1</w:t>
            </w:r>
            <w:r>
              <w:rPr>
                <w:rFonts w:hint="eastAsia" w:ascii="宋体" w:hAnsi="宋体" w:cs="宋体"/>
                <w:color w:val="000000"/>
                <w:kern w:val="0"/>
                <w:sz w:val="18"/>
                <w:szCs w:val="18"/>
              </w:rPr>
              <w:t>个预算单位。</w:t>
            </w:r>
            <w:r>
              <w:rPr>
                <w:rFonts w:ascii="Times New Roman" w:hAnsi="Times New Roman" w:cs="Times New Roman"/>
                <w:color w:val="000000"/>
                <w:kern w:val="0"/>
                <w:sz w:val="18"/>
                <w:szCs w:val="18"/>
              </w:rPr>
              <w:t xml:space="preserve">   </w:t>
            </w: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人，其中：在职人员</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人，离退休人员</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90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22"/>
        <w:gridCol w:w="1479"/>
        <w:gridCol w:w="1479"/>
        <w:gridCol w:w="1479"/>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312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表5</w:t>
            </w:r>
          </w:p>
        </w:tc>
        <w:tc>
          <w:tcPr>
            <w:tcW w:w="147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政府性基金预算支出预算表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cs="Times New Roman"/>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8379" w:type="dxa"/>
        <w:tblInd w:w="-106" w:type="dxa"/>
        <w:tblLayout w:type="fixed"/>
        <w:tblCellMar>
          <w:top w:w="0" w:type="dxa"/>
          <w:left w:w="108" w:type="dxa"/>
          <w:bottom w:w="0" w:type="dxa"/>
          <w:right w:w="108" w:type="dxa"/>
        </w:tblCellMar>
      </w:tblPr>
      <w:tblGrid>
        <w:gridCol w:w="1083"/>
        <w:gridCol w:w="615"/>
        <w:gridCol w:w="682"/>
        <w:gridCol w:w="1140"/>
        <w:gridCol w:w="1128"/>
        <w:gridCol w:w="641"/>
        <w:gridCol w:w="711"/>
        <w:gridCol w:w="2379"/>
      </w:tblGrid>
      <w:tr>
        <w:tblPrEx>
          <w:tblCellMar>
            <w:top w:w="0" w:type="dxa"/>
            <w:left w:w="108" w:type="dxa"/>
            <w:bottom w:w="0" w:type="dxa"/>
            <w:right w:w="108" w:type="dxa"/>
          </w:tblCellMar>
        </w:tblPrEx>
        <w:trPr>
          <w:trHeight w:val="559" w:hRule="atLeast"/>
        </w:trPr>
        <w:tc>
          <w:tcPr>
            <w:tcW w:w="2380" w:type="dxa"/>
            <w:gridSpan w:val="3"/>
            <w:tcBorders>
              <w:top w:val="nil"/>
              <w:left w:val="nil"/>
              <w:bottom w:val="nil"/>
              <w:right w:val="nil"/>
            </w:tcBorders>
            <w:vAlign w:val="bottom"/>
          </w:tcPr>
          <w:p>
            <w:pPr>
              <w:keepNext w:val="0"/>
              <w:keepLines w:val="0"/>
              <w:widowControl/>
              <w:suppressLineNumbers w:val="0"/>
              <w:jc w:val="left"/>
              <w:textAlignment w:val="bottom"/>
              <w:rPr>
                <w:rFonts w:ascii="宋体" w:cs="Times New Roman"/>
                <w:color w:val="000000"/>
                <w:kern w:val="0"/>
                <w:sz w:val="20"/>
                <w:szCs w:val="20"/>
              </w:rPr>
            </w:pPr>
            <w:r>
              <w:rPr>
                <w:rFonts w:hint="eastAsia" w:ascii="宋体" w:hAnsi="宋体" w:eastAsia="宋体" w:cs="宋体"/>
                <w:i w:val="0"/>
                <w:iCs w:val="0"/>
                <w:color w:val="000000"/>
                <w:kern w:val="0"/>
                <w:sz w:val="22"/>
                <w:szCs w:val="22"/>
                <w:u w:val="none"/>
                <w:lang w:val="en-US" w:eastAsia="zh-CN" w:bidi="ar"/>
              </w:rPr>
              <w:t>部门（单位）名称：二道区长青社区卫生服务中心</w:t>
            </w:r>
          </w:p>
        </w:tc>
        <w:tc>
          <w:tcPr>
            <w:tcW w:w="1140" w:type="dxa"/>
            <w:tcBorders>
              <w:top w:val="nil"/>
              <w:left w:val="nil"/>
              <w:bottom w:val="nil"/>
              <w:right w:val="nil"/>
            </w:tcBorders>
            <w:vAlign w:val="bottom"/>
          </w:tcPr>
          <w:p>
            <w:pPr>
              <w:keepNext w:val="0"/>
              <w:keepLines w:val="0"/>
              <w:widowControl/>
              <w:suppressLineNumbers w:val="0"/>
              <w:jc w:val="right"/>
              <w:textAlignment w:val="bottom"/>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单位：万元</w:t>
            </w:r>
          </w:p>
        </w:tc>
        <w:tc>
          <w:tcPr>
            <w:tcW w:w="2480" w:type="dxa"/>
            <w:gridSpan w:val="3"/>
            <w:tcBorders>
              <w:top w:val="nil"/>
              <w:left w:val="nil"/>
              <w:bottom w:val="nil"/>
              <w:right w:val="nil"/>
            </w:tcBorders>
            <w:vAlign w:val="bottom"/>
          </w:tcPr>
          <w:p>
            <w:pPr>
              <w:keepNext w:val="0"/>
              <w:keepLines w:val="0"/>
              <w:widowControl/>
              <w:suppressLineNumbers w:val="0"/>
              <w:jc w:val="left"/>
              <w:textAlignment w:val="bottom"/>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部门（单位）名称：二道区长青社区卫生服务中心</w:t>
            </w:r>
          </w:p>
        </w:tc>
        <w:tc>
          <w:tcPr>
            <w:tcW w:w="2379" w:type="dxa"/>
            <w:tcBorders>
              <w:top w:val="nil"/>
              <w:left w:val="nil"/>
              <w:bottom w:val="nil"/>
              <w:right w:val="nil"/>
            </w:tcBorders>
            <w:vAlign w:val="bottom"/>
          </w:tcPr>
          <w:p>
            <w:pPr>
              <w:keepNext w:val="0"/>
              <w:keepLines w:val="0"/>
              <w:widowControl/>
              <w:suppressLineNumbers w:val="0"/>
              <w:jc w:val="right"/>
              <w:textAlignment w:val="bottom"/>
              <w:rPr>
                <w:rFonts w:ascii="Arial" w:hAnsi="Arial" w:cs="Arial"/>
                <w:color w:val="000000"/>
                <w:kern w:val="0"/>
                <w:sz w:val="20"/>
                <w:szCs w:val="20"/>
              </w:rPr>
            </w:pPr>
            <w:r>
              <w:rPr>
                <w:rFonts w:hint="eastAsia" w:ascii="宋体" w:hAnsi="宋体" w:eastAsia="宋体" w:cs="宋体"/>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559" w:hRule="atLeast"/>
        </w:trPr>
        <w:tc>
          <w:tcPr>
            <w:tcW w:w="1698" w:type="dxa"/>
            <w:gridSpan w:val="2"/>
            <w:tcBorders>
              <w:top w:val="nil"/>
              <w:left w:val="nil"/>
              <w:bottom w:val="nil"/>
              <w:right w:val="nil"/>
            </w:tcBorders>
            <w:vAlign w:val="bottom"/>
          </w:tcPr>
          <w:p>
            <w:pPr>
              <w:keepNext w:val="0"/>
              <w:keepLines w:val="0"/>
              <w:widowControl/>
              <w:suppressLineNumbers w:val="0"/>
              <w:jc w:val="center"/>
              <w:textAlignment w:val="bottom"/>
              <w:rPr>
                <w:rFonts w:ascii="宋体" w:cs="Times New Roman"/>
                <w:b/>
                <w:bCs/>
                <w:color w:val="000000"/>
                <w:kern w:val="0"/>
                <w:sz w:val="36"/>
                <w:szCs w:val="36"/>
              </w:rPr>
            </w:pPr>
            <w:r>
              <w:rPr>
                <w:rFonts w:hint="eastAsia" w:ascii="宋体" w:hAnsi="宋体" w:eastAsia="宋体" w:cs="宋体"/>
                <w:i w:val="0"/>
                <w:iCs w:val="0"/>
                <w:color w:val="000000"/>
                <w:kern w:val="0"/>
                <w:sz w:val="28"/>
                <w:szCs w:val="28"/>
                <w:u w:val="none"/>
                <w:lang w:val="en-US" w:eastAsia="zh-CN" w:bidi="ar"/>
              </w:rPr>
              <w:t>收</w:t>
            </w:r>
            <w:r>
              <w:rPr>
                <w:rStyle w:val="9"/>
                <w:rFonts w:eastAsia="宋体"/>
                <w:lang w:val="en-US" w:eastAsia="zh-CN" w:bidi="ar"/>
              </w:rPr>
              <w:t xml:space="preserve">      </w:t>
            </w:r>
            <w:r>
              <w:rPr>
                <w:rStyle w:val="10"/>
                <w:lang w:val="en-US" w:eastAsia="zh-CN" w:bidi="ar"/>
              </w:rPr>
              <w:t>入</w:t>
            </w:r>
          </w:p>
        </w:tc>
        <w:tc>
          <w:tcPr>
            <w:tcW w:w="1822" w:type="dxa"/>
            <w:gridSpan w:val="2"/>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8"/>
                <w:szCs w:val="28"/>
                <w:u w:val="none"/>
                <w:lang w:val="en-US" w:eastAsia="zh-CN" w:bidi="ar"/>
              </w:rPr>
              <w:t>支</w:t>
            </w:r>
            <w:r>
              <w:rPr>
                <w:rStyle w:val="9"/>
                <w:rFonts w:eastAsia="宋体"/>
                <w:lang w:val="en-US" w:eastAsia="zh-CN" w:bidi="ar"/>
              </w:rPr>
              <w:t xml:space="preserve">      </w:t>
            </w:r>
            <w:r>
              <w:rPr>
                <w:rStyle w:val="10"/>
                <w:lang w:val="en-US" w:eastAsia="zh-CN" w:bidi="ar"/>
              </w:rPr>
              <w:t>出</w:t>
            </w:r>
          </w:p>
        </w:tc>
        <w:tc>
          <w:tcPr>
            <w:tcW w:w="1769" w:type="dxa"/>
            <w:gridSpan w:val="2"/>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8"/>
                <w:szCs w:val="28"/>
                <w:u w:val="none"/>
                <w:lang w:val="en-US" w:eastAsia="zh-CN" w:bidi="ar"/>
              </w:rPr>
              <w:t>收</w:t>
            </w:r>
            <w:r>
              <w:rPr>
                <w:rStyle w:val="9"/>
                <w:rFonts w:eastAsia="宋体"/>
                <w:lang w:val="en-US" w:eastAsia="zh-CN" w:bidi="ar"/>
              </w:rPr>
              <w:t xml:space="preserve">      </w:t>
            </w:r>
            <w:r>
              <w:rPr>
                <w:rStyle w:val="10"/>
                <w:lang w:val="en-US" w:eastAsia="zh-CN" w:bidi="ar"/>
              </w:rPr>
              <w:t>入</w:t>
            </w:r>
          </w:p>
        </w:tc>
        <w:tc>
          <w:tcPr>
            <w:tcW w:w="3090" w:type="dxa"/>
            <w:gridSpan w:val="2"/>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8"/>
                <w:szCs w:val="28"/>
                <w:u w:val="none"/>
                <w:lang w:val="en-US" w:eastAsia="zh-CN" w:bidi="ar"/>
              </w:rPr>
              <w:t>支</w:t>
            </w:r>
            <w:r>
              <w:rPr>
                <w:rStyle w:val="9"/>
                <w:rFonts w:eastAsia="宋体"/>
                <w:lang w:val="en-US" w:eastAsia="zh-CN" w:bidi="ar"/>
              </w:rPr>
              <w:t xml:space="preserve">      </w:t>
            </w:r>
            <w:r>
              <w:rPr>
                <w:rStyle w:val="10"/>
                <w:lang w:val="en-US" w:eastAsia="zh-CN" w:bidi="ar"/>
              </w:rPr>
              <w:t>出</w:t>
            </w:r>
          </w:p>
        </w:tc>
      </w:tr>
      <w:tr>
        <w:tblPrEx>
          <w:tblCellMar>
            <w:top w:w="0" w:type="dxa"/>
            <w:left w:w="108" w:type="dxa"/>
            <w:bottom w:w="0" w:type="dxa"/>
            <w:right w:w="108" w:type="dxa"/>
          </w:tblCellMar>
        </w:tblPrEx>
        <w:trPr>
          <w:trHeight w:val="559" w:hRule="atLeast"/>
        </w:trPr>
        <w:tc>
          <w:tcPr>
            <w:tcW w:w="1083" w:type="dxa"/>
            <w:tcBorders>
              <w:top w:val="nil"/>
              <w:left w:val="nil"/>
              <w:bottom w:val="nil"/>
              <w:right w:val="nil"/>
            </w:tcBorders>
            <w:vAlign w:val="bottom"/>
          </w:tcPr>
          <w:p>
            <w:pPr>
              <w:keepNext w:val="0"/>
              <w:keepLines w:val="0"/>
              <w:widowControl/>
              <w:suppressLineNumbers w:val="0"/>
              <w:jc w:val="center"/>
              <w:textAlignment w:val="bottom"/>
              <w:rPr>
                <w:rFonts w:hint="default" w:ascii="宋体" w:eastAsia="宋体" w:cs="Times New Roman"/>
                <w:color w:val="000000"/>
                <w:kern w:val="0"/>
                <w:sz w:val="18"/>
                <w:szCs w:val="18"/>
                <w:lang w:val="en-US" w:eastAsia="zh-CN"/>
              </w:rPr>
            </w:pPr>
            <w:r>
              <w:rPr>
                <w:rFonts w:hint="eastAsia" w:ascii="宋体" w:hAnsi="宋体" w:eastAsia="宋体" w:cs="宋体"/>
                <w:i w:val="0"/>
                <w:iCs w:val="0"/>
                <w:color w:val="000000"/>
                <w:kern w:val="0"/>
                <w:sz w:val="24"/>
                <w:szCs w:val="24"/>
                <w:u w:val="none"/>
                <w:lang w:val="en-US" w:eastAsia="zh-CN" w:bidi="ar"/>
              </w:rPr>
              <w:t>项目</w:t>
            </w:r>
          </w:p>
        </w:tc>
        <w:tc>
          <w:tcPr>
            <w:tcW w:w="615" w:type="dxa"/>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4"/>
                <w:szCs w:val="24"/>
                <w:u w:val="none"/>
                <w:lang w:val="en-US" w:eastAsia="zh-CN" w:bidi="ar"/>
              </w:rPr>
              <w:t>预算数</w:t>
            </w:r>
          </w:p>
        </w:tc>
        <w:tc>
          <w:tcPr>
            <w:tcW w:w="682" w:type="dxa"/>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4"/>
                <w:szCs w:val="24"/>
                <w:u w:val="none"/>
                <w:lang w:val="en-US" w:eastAsia="zh-CN" w:bidi="ar"/>
              </w:rPr>
              <w:t>项目</w:t>
            </w:r>
          </w:p>
        </w:tc>
        <w:tc>
          <w:tcPr>
            <w:tcW w:w="1140" w:type="dxa"/>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4"/>
                <w:szCs w:val="24"/>
                <w:u w:val="none"/>
                <w:lang w:val="en-US" w:eastAsia="zh-CN" w:bidi="ar"/>
              </w:rPr>
              <w:t>预算数</w:t>
            </w:r>
          </w:p>
        </w:tc>
        <w:tc>
          <w:tcPr>
            <w:tcW w:w="1128" w:type="dxa"/>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4"/>
                <w:szCs w:val="24"/>
                <w:u w:val="none"/>
                <w:lang w:val="en-US" w:eastAsia="zh-CN" w:bidi="ar"/>
              </w:rPr>
              <w:t>项目</w:t>
            </w:r>
          </w:p>
        </w:tc>
        <w:tc>
          <w:tcPr>
            <w:tcW w:w="641" w:type="dxa"/>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4"/>
                <w:szCs w:val="24"/>
                <w:u w:val="none"/>
                <w:lang w:val="en-US" w:eastAsia="zh-CN" w:bidi="ar"/>
              </w:rPr>
              <w:t>预算数</w:t>
            </w:r>
          </w:p>
        </w:tc>
        <w:tc>
          <w:tcPr>
            <w:tcW w:w="711" w:type="dxa"/>
            <w:tcBorders>
              <w:top w:val="nil"/>
              <w:left w:val="nil"/>
              <w:bottom w:val="nil"/>
              <w:right w:val="nil"/>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4"/>
                <w:szCs w:val="24"/>
                <w:u w:val="none"/>
                <w:lang w:val="en-US" w:eastAsia="zh-CN" w:bidi="ar"/>
              </w:rPr>
              <w:t>项目</w:t>
            </w:r>
          </w:p>
        </w:tc>
        <w:tc>
          <w:tcPr>
            <w:tcW w:w="2379" w:type="dxa"/>
            <w:tcBorders>
              <w:top w:val="nil"/>
              <w:left w:val="nil"/>
              <w:bottom w:val="nil"/>
              <w:right w:val="nil"/>
            </w:tcBorders>
            <w:vAlign w:val="bottom"/>
          </w:tcPr>
          <w:p>
            <w:pPr>
              <w:keepNext w:val="0"/>
              <w:keepLines w:val="0"/>
              <w:widowControl/>
              <w:suppressLineNumbers w:val="0"/>
              <w:jc w:val="center"/>
              <w:textAlignment w:val="bottom"/>
              <w:rPr>
                <w:rFonts w:ascii="宋体" w:cs="Times New Roman"/>
                <w:color w:val="000000"/>
                <w:kern w:val="0"/>
                <w:sz w:val="18"/>
                <w:szCs w:val="18"/>
              </w:rPr>
            </w:pPr>
            <w:r>
              <w:rPr>
                <w:rFonts w:hint="eastAsia" w:ascii="宋体" w:hAnsi="宋体" w:eastAsia="宋体" w:cs="宋体"/>
                <w:i w:val="0"/>
                <w:iCs w:val="0"/>
                <w:color w:val="000000"/>
                <w:kern w:val="0"/>
                <w:sz w:val="24"/>
                <w:szCs w:val="24"/>
                <w:u w:val="none"/>
                <w:lang w:val="en-US" w:eastAsia="zh-CN" w:bidi="ar"/>
              </w:rPr>
              <w:t>预算数</w:t>
            </w:r>
          </w:p>
        </w:tc>
      </w:tr>
      <w:tr>
        <w:tblPrEx>
          <w:tblCellMar>
            <w:top w:w="0" w:type="dxa"/>
            <w:left w:w="108" w:type="dxa"/>
            <w:bottom w:w="0" w:type="dxa"/>
            <w:right w:w="108" w:type="dxa"/>
          </w:tblCellMar>
        </w:tblPrEx>
        <w:trPr>
          <w:trHeight w:val="559" w:hRule="atLeast"/>
        </w:trPr>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1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22"/>
                <w:szCs w:val="22"/>
                <w:u w:val="none"/>
                <w:lang w:val="en-US" w:eastAsia="zh-CN" w:bidi="ar"/>
              </w:rPr>
              <w:t>444.23</w:t>
            </w:r>
          </w:p>
        </w:tc>
        <w:tc>
          <w:tcPr>
            <w:tcW w:w="682"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2"/>
                <w:szCs w:val="22"/>
                <w:u w:val="none"/>
                <w:lang w:val="en-US" w:eastAsia="zh-CN" w:bidi="ar"/>
              </w:rPr>
              <w:t>一、一般公共服务</w:t>
            </w:r>
          </w:p>
        </w:tc>
        <w:tc>
          <w:tcPr>
            <w:tcW w:w="1140" w:type="dxa"/>
            <w:tcBorders>
              <w:top w:val="single" w:color="auto" w:sz="4" w:space="0"/>
              <w:left w:val="single" w:color="auto" w:sz="4" w:space="0"/>
              <w:bottom w:val="single" w:color="auto" w:sz="4" w:space="0"/>
              <w:right w:val="single" w:color="auto" w:sz="4" w:space="0"/>
            </w:tcBorders>
            <w:vAlign w:val="bottom"/>
          </w:tcPr>
          <w:p>
            <w:pPr>
              <w:jc w:val="left"/>
            </w:pPr>
          </w:p>
        </w:tc>
        <w:tc>
          <w:tcPr>
            <w:tcW w:w="11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4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22"/>
                <w:szCs w:val="22"/>
                <w:u w:val="none"/>
                <w:lang w:val="en-US" w:eastAsia="zh-CN" w:bidi="ar"/>
              </w:rPr>
              <w:t>444.23</w:t>
            </w:r>
          </w:p>
        </w:tc>
        <w:tc>
          <w:tcPr>
            <w:tcW w:w="7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2"/>
                <w:szCs w:val="22"/>
                <w:u w:val="none"/>
                <w:lang w:val="en-US" w:eastAsia="zh-CN" w:bidi="ar"/>
              </w:rPr>
              <w:t>一、一般公共服务</w:t>
            </w:r>
          </w:p>
        </w:tc>
        <w:tc>
          <w:tcPr>
            <w:tcW w:w="2379" w:type="dxa"/>
            <w:tcBorders>
              <w:top w:val="single" w:color="auto" w:sz="4" w:space="0"/>
              <w:left w:val="nil"/>
              <w:bottom w:val="single" w:color="auto" w:sz="4" w:space="0"/>
              <w:right w:val="single" w:color="auto" w:sz="4" w:space="0"/>
            </w:tcBorders>
            <w:vAlign w:val="bottom"/>
          </w:tcPr>
          <w:p>
            <w:pPr>
              <w:jc w:val="left"/>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15" w:type="dxa"/>
            <w:tcBorders>
              <w:top w:val="nil"/>
              <w:left w:val="single" w:color="auto" w:sz="4" w:space="0"/>
              <w:bottom w:val="single" w:color="auto" w:sz="4" w:space="0"/>
              <w:right w:val="single" w:color="auto" w:sz="4" w:space="0"/>
            </w:tcBorders>
            <w:vAlign w:val="bottom"/>
          </w:tcPr>
          <w:p>
            <w:pPr>
              <w:jc w:val="right"/>
            </w:pPr>
          </w:p>
        </w:tc>
        <w:tc>
          <w:tcPr>
            <w:tcW w:w="682"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2"/>
                <w:szCs w:val="22"/>
                <w:u w:val="none"/>
                <w:lang w:val="en-US" w:eastAsia="zh-CN" w:bidi="ar"/>
              </w:rPr>
              <w:t>二、外交支出</w:t>
            </w:r>
          </w:p>
        </w:tc>
        <w:tc>
          <w:tcPr>
            <w:tcW w:w="1140" w:type="dxa"/>
            <w:tcBorders>
              <w:top w:val="nil"/>
              <w:left w:val="nil"/>
              <w:bottom w:val="single" w:color="auto" w:sz="4" w:space="0"/>
              <w:right w:val="single" w:color="auto" w:sz="4" w:space="0"/>
            </w:tcBorders>
            <w:vAlign w:val="bottom"/>
          </w:tcPr>
          <w:p>
            <w:pPr>
              <w:jc w:val="left"/>
              <w:rPr>
                <w:rFonts w:ascii="宋体" w:cs="Times New Roman"/>
                <w:color w:val="000000"/>
                <w:kern w:val="0"/>
                <w:sz w:val="18"/>
                <w:szCs w:val="18"/>
              </w:rPr>
            </w:pPr>
          </w:p>
        </w:tc>
        <w:tc>
          <w:tcPr>
            <w:tcW w:w="11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41" w:type="dxa"/>
            <w:tcBorders>
              <w:top w:val="nil"/>
              <w:left w:val="nil"/>
              <w:bottom w:val="single" w:color="auto" w:sz="4" w:space="0"/>
              <w:right w:val="single" w:color="auto" w:sz="4" w:space="0"/>
            </w:tcBorders>
            <w:vAlign w:val="bottom"/>
          </w:tcPr>
          <w:p>
            <w:pPr>
              <w:jc w:val="right"/>
            </w:pPr>
          </w:p>
        </w:tc>
        <w:tc>
          <w:tcPr>
            <w:tcW w:w="711"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2"/>
                <w:szCs w:val="22"/>
                <w:u w:val="none"/>
                <w:lang w:val="en-US" w:eastAsia="zh-CN" w:bidi="ar"/>
              </w:rPr>
              <w:t>二、外交支出</w:t>
            </w:r>
          </w:p>
        </w:tc>
        <w:tc>
          <w:tcPr>
            <w:tcW w:w="2379" w:type="dxa"/>
            <w:tcBorders>
              <w:top w:val="nil"/>
              <w:left w:val="nil"/>
              <w:bottom w:val="single" w:color="auto" w:sz="4" w:space="0"/>
              <w:right w:val="single" w:color="auto" w:sz="4" w:space="0"/>
            </w:tcBorders>
            <w:vAlign w:val="bottom"/>
          </w:tcPr>
          <w:p>
            <w:pPr>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三、事业收入</w:t>
            </w:r>
          </w:p>
        </w:tc>
        <w:tc>
          <w:tcPr>
            <w:tcW w:w="615" w:type="dxa"/>
            <w:tcBorders>
              <w:top w:val="nil"/>
              <w:left w:val="single" w:color="auto" w:sz="4" w:space="0"/>
              <w:bottom w:val="single" w:color="auto" w:sz="4" w:space="0"/>
              <w:right w:val="single" w:color="auto" w:sz="4" w:space="0"/>
            </w:tcBorders>
            <w:vAlign w:val="bottom"/>
          </w:tcPr>
          <w:p>
            <w:pPr>
              <w:jc w:val="left"/>
            </w:pPr>
          </w:p>
        </w:tc>
        <w:tc>
          <w:tcPr>
            <w:tcW w:w="682"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2"/>
                <w:szCs w:val="22"/>
                <w:u w:val="none"/>
                <w:lang w:val="en-US" w:eastAsia="zh-CN" w:bidi="ar"/>
              </w:rPr>
              <w:t>三、卫生健康支出</w:t>
            </w:r>
          </w:p>
        </w:tc>
        <w:tc>
          <w:tcPr>
            <w:tcW w:w="1140"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default" w:ascii="宋体" w:eastAsia="宋体" w:cs="Times New Roman"/>
                <w:color w:val="000000"/>
                <w:kern w:val="0"/>
                <w:sz w:val="18"/>
                <w:szCs w:val="18"/>
                <w:lang w:val="en-US" w:eastAsia="zh-CN"/>
              </w:rPr>
            </w:pPr>
            <w:r>
              <w:rPr>
                <w:rFonts w:hint="eastAsia" w:ascii="宋体" w:hAnsi="宋体" w:eastAsia="宋体" w:cs="宋体"/>
                <w:i w:val="0"/>
                <w:iCs w:val="0"/>
                <w:color w:val="000000"/>
                <w:kern w:val="0"/>
                <w:sz w:val="24"/>
                <w:szCs w:val="24"/>
                <w:u w:val="none"/>
                <w:lang w:val="en-US" w:eastAsia="zh-CN" w:bidi="ar"/>
              </w:rPr>
              <w:t>444.23</w:t>
            </w:r>
          </w:p>
        </w:tc>
        <w:tc>
          <w:tcPr>
            <w:tcW w:w="1128"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三、事业收入</w:t>
            </w:r>
          </w:p>
        </w:tc>
        <w:tc>
          <w:tcPr>
            <w:tcW w:w="641" w:type="dxa"/>
            <w:tcBorders>
              <w:top w:val="nil"/>
              <w:left w:val="nil"/>
              <w:bottom w:val="single" w:color="auto" w:sz="4" w:space="0"/>
              <w:right w:val="single" w:color="auto" w:sz="4" w:space="0"/>
            </w:tcBorders>
            <w:vAlign w:val="bottom"/>
          </w:tcPr>
          <w:p>
            <w:pPr>
              <w:jc w:val="left"/>
            </w:pPr>
          </w:p>
        </w:tc>
        <w:tc>
          <w:tcPr>
            <w:tcW w:w="711"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2"/>
                <w:szCs w:val="22"/>
                <w:u w:val="none"/>
                <w:lang w:val="en-US" w:eastAsia="zh-CN" w:bidi="ar"/>
              </w:rPr>
              <w:t>三、卫生健康支出</w:t>
            </w:r>
          </w:p>
        </w:tc>
        <w:tc>
          <w:tcPr>
            <w:tcW w:w="2379"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default" w:ascii="宋体" w:eastAsia="宋体" w:cs="Times New Roman"/>
                <w:color w:val="000000"/>
                <w:kern w:val="0"/>
                <w:sz w:val="18"/>
                <w:szCs w:val="18"/>
                <w:lang w:val="en-US" w:eastAsia="zh-CN"/>
              </w:rPr>
            </w:pPr>
            <w:r>
              <w:rPr>
                <w:rFonts w:hint="eastAsia" w:ascii="宋体" w:hAnsi="宋体" w:eastAsia="宋体" w:cs="宋体"/>
                <w:i w:val="0"/>
                <w:iCs w:val="0"/>
                <w:color w:val="000000"/>
                <w:kern w:val="0"/>
                <w:sz w:val="24"/>
                <w:szCs w:val="24"/>
                <w:u w:val="none"/>
                <w:lang w:val="en-US" w:eastAsia="zh-CN" w:bidi="ar"/>
              </w:rPr>
              <w:t>444.23</w:t>
            </w: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四、经营收入</w:t>
            </w:r>
          </w:p>
        </w:tc>
        <w:tc>
          <w:tcPr>
            <w:tcW w:w="615" w:type="dxa"/>
            <w:tcBorders>
              <w:top w:val="nil"/>
              <w:left w:val="single" w:color="auto" w:sz="4" w:space="0"/>
              <w:bottom w:val="single" w:color="auto" w:sz="4" w:space="0"/>
              <w:right w:val="single" w:color="auto" w:sz="4" w:space="0"/>
            </w:tcBorders>
            <w:vAlign w:val="bottom"/>
          </w:tcPr>
          <w:p>
            <w:pPr>
              <w:jc w:val="left"/>
            </w:pPr>
          </w:p>
        </w:tc>
        <w:tc>
          <w:tcPr>
            <w:tcW w:w="682" w:type="dxa"/>
            <w:tcBorders>
              <w:top w:val="nil"/>
              <w:left w:val="single" w:color="auto" w:sz="4" w:space="0"/>
              <w:bottom w:val="single" w:color="auto" w:sz="4" w:space="0"/>
              <w:right w:val="single" w:color="auto" w:sz="4" w:space="0"/>
            </w:tcBorders>
            <w:vAlign w:val="bottom"/>
          </w:tcPr>
          <w:p>
            <w:pPr>
              <w:jc w:val="left"/>
            </w:pPr>
          </w:p>
        </w:tc>
        <w:tc>
          <w:tcPr>
            <w:tcW w:w="1140"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c>
          <w:tcPr>
            <w:tcW w:w="1128"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四、经营收入</w:t>
            </w:r>
          </w:p>
        </w:tc>
        <w:tc>
          <w:tcPr>
            <w:tcW w:w="641" w:type="dxa"/>
            <w:tcBorders>
              <w:top w:val="nil"/>
              <w:left w:val="nil"/>
              <w:bottom w:val="single" w:color="auto" w:sz="4" w:space="0"/>
              <w:right w:val="single" w:color="auto" w:sz="4" w:space="0"/>
            </w:tcBorders>
            <w:vAlign w:val="bottom"/>
          </w:tcPr>
          <w:p>
            <w:pPr>
              <w:jc w:val="left"/>
            </w:pPr>
          </w:p>
        </w:tc>
        <w:tc>
          <w:tcPr>
            <w:tcW w:w="711" w:type="dxa"/>
            <w:tcBorders>
              <w:top w:val="nil"/>
              <w:left w:val="nil"/>
              <w:bottom w:val="single" w:color="auto" w:sz="4" w:space="0"/>
              <w:right w:val="single" w:color="auto" w:sz="4" w:space="0"/>
            </w:tcBorders>
            <w:vAlign w:val="bottom"/>
          </w:tcPr>
          <w:p>
            <w:pPr>
              <w:jc w:val="left"/>
            </w:pPr>
          </w:p>
        </w:tc>
        <w:tc>
          <w:tcPr>
            <w:tcW w:w="2379"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五、其他收入</w:t>
            </w:r>
          </w:p>
        </w:tc>
        <w:tc>
          <w:tcPr>
            <w:tcW w:w="615" w:type="dxa"/>
            <w:tcBorders>
              <w:top w:val="nil"/>
              <w:left w:val="single" w:color="auto" w:sz="4" w:space="0"/>
              <w:bottom w:val="single" w:color="auto" w:sz="4" w:space="0"/>
              <w:right w:val="single" w:color="auto" w:sz="4" w:space="0"/>
            </w:tcBorders>
            <w:vAlign w:val="bottom"/>
          </w:tcPr>
          <w:p>
            <w:pPr>
              <w:jc w:val="left"/>
            </w:pPr>
          </w:p>
        </w:tc>
        <w:tc>
          <w:tcPr>
            <w:tcW w:w="682" w:type="dxa"/>
            <w:tcBorders>
              <w:top w:val="nil"/>
              <w:left w:val="single" w:color="auto" w:sz="4" w:space="0"/>
              <w:bottom w:val="single" w:color="auto" w:sz="4" w:space="0"/>
              <w:right w:val="single" w:color="auto" w:sz="4" w:space="0"/>
            </w:tcBorders>
            <w:vAlign w:val="bottom"/>
          </w:tcPr>
          <w:p>
            <w:pPr>
              <w:jc w:val="left"/>
            </w:pPr>
          </w:p>
        </w:tc>
        <w:tc>
          <w:tcPr>
            <w:tcW w:w="1140"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c>
          <w:tcPr>
            <w:tcW w:w="1128"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五、其他收入</w:t>
            </w:r>
          </w:p>
        </w:tc>
        <w:tc>
          <w:tcPr>
            <w:tcW w:w="641" w:type="dxa"/>
            <w:tcBorders>
              <w:top w:val="nil"/>
              <w:left w:val="nil"/>
              <w:bottom w:val="single" w:color="auto" w:sz="4" w:space="0"/>
              <w:right w:val="single" w:color="auto" w:sz="4" w:space="0"/>
            </w:tcBorders>
            <w:vAlign w:val="bottom"/>
          </w:tcPr>
          <w:p>
            <w:pPr>
              <w:jc w:val="left"/>
            </w:pPr>
          </w:p>
        </w:tc>
        <w:tc>
          <w:tcPr>
            <w:tcW w:w="711" w:type="dxa"/>
            <w:tcBorders>
              <w:top w:val="nil"/>
              <w:left w:val="nil"/>
              <w:bottom w:val="single" w:color="auto" w:sz="4" w:space="0"/>
              <w:right w:val="single" w:color="auto" w:sz="4" w:space="0"/>
            </w:tcBorders>
            <w:vAlign w:val="bottom"/>
          </w:tcPr>
          <w:p>
            <w:pPr>
              <w:jc w:val="left"/>
            </w:pPr>
          </w:p>
        </w:tc>
        <w:tc>
          <w:tcPr>
            <w:tcW w:w="2379"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jc w:val="left"/>
              <w:rPr>
                <w:rFonts w:ascii="宋体" w:cs="Times New Roman"/>
                <w:color w:val="000000"/>
                <w:kern w:val="0"/>
                <w:sz w:val="18"/>
                <w:szCs w:val="18"/>
              </w:rPr>
            </w:pPr>
          </w:p>
        </w:tc>
        <w:tc>
          <w:tcPr>
            <w:tcW w:w="615" w:type="dxa"/>
            <w:tcBorders>
              <w:top w:val="nil"/>
              <w:left w:val="single" w:color="auto" w:sz="4" w:space="0"/>
              <w:bottom w:val="single" w:color="auto" w:sz="4" w:space="0"/>
              <w:right w:val="single" w:color="auto" w:sz="4" w:space="0"/>
            </w:tcBorders>
            <w:vAlign w:val="bottom"/>
          </w:tcPr>
          <w:p>
            <w:pPr>
              <w:jc w:val="left"/>
            </w:pPr>
          </w:p>
        </w:tc>
        <w:tc>
          <w:tcPr>
            <w:tcW w:w="682"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140"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c>
          <w:tcPr>
            <w:tcW w:w="1128" w:type="dxa"/>
            <w:tcBorders>
              <w:top w:val="nil"/>
              <w:left w:val="nil"/>
              <w:bottom w:val="single" w:color="auto" w:sz="4" w:space="0"/>
              <w:right w:val="single" w:color="auto" w:sz="4" w:space="0"/>
            </w:tcBorders>
            <w:vAlign w:val="bottom"/>
          </w:tcPr>
          <w:p>
            <w:pPr>
              <w:jc w:val="left"/>
              <w:rPr>
                <w:rFonts w:ascii="宋体" w:cs="Times New Roman"/>
                <w:color w:val="000000"/>
                <w:kern w:val="0"/>
                <w:sz w:val="18"/>
                <w:szCs w:val="18"/>
              </w:rPr>
            </w:pPr>
          </w:p>
        </w:tc>
        <w:tc>
          <w:tcPr>
            <w:tcW w:w="641" w:type="dxa"/>
            <w:tcBorders>
              <w:top w:val="nil"/>
              <w:left w:val="nil"/>
              <w:bottom w:val="single" w:color="auto" w:sz="4" w:space="0"/>
              <w:right w:val="single" w:color="auto" w:sz="4" w:space="0"/>
            </w:tcBorders>
            <w:vAlign w:val="bottom"/>
          </w:tcPr>
          <w:p>
            <w:pPr>
              <w:jc w:val="left"/>
            </w:pPr>
          </w:p>
        </w:tc>
        <w:tc>
          <w:tcPr>
            <w:tcW w:w="711"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2379"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jc w:val="left"/>
              <w:rPr>
                <w:rFonts w:ascii="宋体" w:cs="Times New Roman"/>
                <w:color w:val="000000"/>
                <w:kern w:val="0"/>
                <w:sz w:val="18"/>
                <w:szCs w:val="18"/>
              </w:rPr>
            </w:pPr>
          </w:p>
        </w:tc>
        <w:tc>
          <w:tcPr>
            <w:tcW w:w="615" w:type="dxa"/>
            <w:tcBorders>
              <w:top w:val="nil"/>
              <w:left w:val="single" w:color="auto" w:sz="4" w:space="0"/>
              <w:bottom w:val="single" w:color="auto" w:sz="4" w:space="0"/>
              <w:right w:val="single" w:color="auto" w:sz="4" w:space="0"/>
            </w:tcBorders>
            <w:vAlign w:val="bottom"/>
          </w:tcPr>
          <w:p>
            <w:pPr>
              <w:jc w:val="left"/>
            </w:pPr>
          </w:p>
        </w:tc>
        <w:tc>
          <w:tcPr>
            <w:tcW w:w="682" w:type="dxa"/>
            <w:tcBorders>
              <w:top w:val="nil"/>
              <w:left w:val="single" w:color="auto" w:sz="4" w:space="0"/>
              <w:bottom w:val="single" w:color="auto" w:sz="4" w:space="0"/>
              <w:right w:val="single" w:color="auto" w:sz="4" w:space="0"/>
            </w:tcBorders>
            <w:vAlign w:val="bottom"/>
          </w:tcPr>
          <w:p/>
        </w:tc>
        <w:tc>
          <w:tcPr>
            <w:tcW w:w="1140"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c>
          <w:tcPr>
            <w:tcW w:w="1128" w:type="dxa"/>
            <w:tcBorders>
              <w:top w:val="nil"/>
              <w:left w:val="nil"/>
              <w:bottom w:val="single" w:color="auto" w:sz="4" w:space="0"/>
              <w:right w:val="single" w:color="auto" w:sz="4" w:space="0"/>
            </w:tcBorders>
            <w:vAlign w:val="bottom"/>
          </w:tcPr>
          <w:p>
            <w:pPr>
              <w:jc w:val="left"/>
              <w:rPr>
                <w:rFonts w:ascii="宋体" w:cs="Times New Roman"/>
                <w:color w:val="000000"/>
                <w:kern w:val="0"/>
                <w:sz w:val="18"/>
                <w:szCs w:val="18"/>
              </w:rPr>
            </w:pPr>
          </w:p>
        </w:tc>
        <w:tc>
          <w:tcPr>
            <w:tcW w:w="641" w:type="dxa"/>
            <w:tcBorders>
              <w:top w:val="nil"/>
              <w:left w:val="nil"/>
              <w:bottom w:val="single" w:color="auto" w:sz="4" w:space="0"/>
              <w:right w:val="single" w:color="auto" w:sz="4" w:space="0"/>
            </w:tcBorders>
            <w:vAlign w:val="bottom"/>
          </w:tcPr>
          <w:p>
            <w:pPr>
              <w:jc w:val="left"/>
            </w:pPr>
          </w:p>
        </w:tc>
        <w:tc>
          <w:tcPr>
            <w:tcW w:w="711" w:type="dxa"/>
            <w:tcBorders>
              <w:top w:val="nil"/>
              <w:left w:val="nil"/>
              <w:bottom w:val="single" w:color="auto" w:sz="4" w:space="0"/>
              <w:right w:val="single" w:color="auto" w:sz="4" w:space="0"/>
            </w:tcBorders>
            <w:vAlign w:val="bottom"/>
          </w:tcPr>
          <w:p/>
        </w:tc>
        <w:tc>
          <w:tcPr>
            <w:tcW w:w="2379"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ascii="宋体" w:cs="Times New Roman"/>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15" w:type="dxa"/>
            <w:tcBorders>
              <w:top w:val="nil"/>
              <w:left w:val="single" w:color="auto" w:sz="4" w:space="0"/>
              <w:bottom w:val="single" w:color="auto" w:sz="4" w:space="0"/>
              <w:right w:val="single" w:color="auto" w:sz="4" w:space="0"/>
            </w:tcBorders>
            <w:vAlign w:val="bottom"/>
          </w:tcPr>
          <w:p>
            <w:pPr>
              <w:jc w:val="right"/>
            </w:pPr>
          </w:p>
        </w:tc>
        <w:tc>
          <w:tcPr>
            <w:tcW w:w="682"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pPr>
            <w:r>
              <w:rPr>
                <w:rFonts w:hint="eastAsia" w:ascii="宋体" w:hAnsi="宋体" w:eastAsia="宋体" w:cs="宋体"/>
                <w:b/>
                <w:bCs/>
                <w:i w:val="0"/>
                <w:iCs w:val="0"/>
                <w:color w:val="000000"/>
                <w:kern w:val="0"/>
                <w:sz w:val="22"/>
                <w:szCs w:val="22"/>
                <w:u w:val="none"/>
                <w:lang w:val="en-US" w:eastAsia="zh-CN" w:bidi="ar"/>
              </w:rPr>
              <w:t>本年支出合计</w:t>
            </w:r>
          </w:p>
        </w:tc>
        <w:tc>
          <w:tcPr>
            <w:tcW w:w="1140"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c>
          <w:tcPr>
            <w:tcW w:w="1128"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cs="Times New Roman"/>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41" w:type="dxa"/>
            <w:tcBorders>
              <w:top w:val="nil"/>
              <w:left w:val="nil"/>
              <w:bottom w:val="single" w:color="auto" w:sz="4" w:space="0"/>
              <w:right w:val="single" w:color="auto" w:sz="4" w:space="0"/>
            </w:tcBorders>
            <w:vAlign w:val="bottom"/>
          </w:tcPr>
          <w:p>
            <w:pPr>
              <w:jc w:val="right"/>
            </w:pPr>
          </w:p>
        </w:tc>
        <w:tc>
          <w:tcPr>
            <w:tcW w:w="711"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pPr>
            <w:r>
              <w:rPr>
                <w:rFonts w:hint="eastAsia" w:ascii="宋体" w:hAnsi="宋体" w:eastAsia="宋体" w:cs="宋体"/>
                <w:b/>
                <w:bCs/>
                <w:i w:val="0"/>
                <w:iCs w:val="0"/>
                <w:color w:val="000000"/>
                <w:kern w:val="0"/>
                <w:sz w:val="22"/>
                <w:szCs w:val="22"/>
                <w:u w:val="none"/>
                <w:lang w:val="en-US" w:eastAsia="zh-CN" w:bidi="ar"/>
              </w:rPr>
              <w:t>本年支出合计</w:t>
            </w:r>
          </w:p>
        </w:tc>
        <w:tc>
          <w:tcPr>
            <w:tcW w:w="2379"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用事业基金弥补收支差额</w:t>
            </w:r>
          </w:p>
        </w:tc>
        <w:tc>
          <w:tcPr>
            <w:tcW w:w="615" w:type="dxa"/>
            <w:tcBorders>
              <w:top w:val="nil"/>
              <w:left w:val="single" w:color="auto" w:sz="4" w:space="0"/>
              <w:bottom w:val="single" w:color="auto" w:sz="4" w:space="0"/>
              <w:right w:val="single" w:color="auto" w:sz="4" w:space="0"/>
            </w:tcBorders>
            <w:vAlign w:val="bottom"/>
          </w:tcPr>
          <w:p>
            <w:pPr>
              <w:jc w:val="left"/>
            </w:pPr>
          </w:p>
        </w:tc>
        <w:tc>
          <w:tcPr>
            <w:tcW w:w="682"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2"/>
                <w:szCs w:val="22"/>
                <w:u w:val="none"/>
                <w:lang w:val="en-US" w:eastAsia="zh-CN" w:bidi="ar"/>
              </w:rPr>
              <w:t>结转下年</w:t>
            </w:r>
          </w:p>
        </w:tc>
        <w:tc>
          <w:tcPr>
            <w:tcW w:w="1140" w:type="dxa"/>
            <w:tcBorders>
              <w:top w:val="nil"/>
              <w:left w:val="nil"/>
              <w:bottom w:val="single" w:color="auto" w:sz="4" w:space="0"/>
              <w:right w:val="single" w:color="auto" w:sz="4" w:space="0"/>
            </w:tcBorders>
            <w:vAlign w:val="bottom"/>
          </w:tcPr>
          <w:p>
            <w:pPr>
              <w:jc w:val="right"/>
              <w:rPr>
                <w:rFonts w:ascii="宋体" w:cs="Times New Roman"/>
                <w:color w:val="000000"/>
                <w:kern w:val="0"/>
                <w:sz w:val="18"/>
                <w:szCs w:val="18"/>
              </w:rPr>
            </w:pPr>
          </w:p>
        </w:tc>
        <w:tc>
          <w:tcPr>
            <w:tcW w:w="1128" w:type="dxa"/>
            <w:tcBorders>
              <w:top w:val="nil"/>
              <w:left w:val="nil"/>
              <w:bottom w:val="nil"/>
              <w:right w:val="nil"/>
            </w:tcBorders>
            <w:vAlign w:val="bottom"/>
          </w:tcPr>
          <w:p>
            <w:pPr>
              <w:keepNext w:val="0"/>
              <w:keepLines w:val="0"/>
              <w:widowControl/>
              <w:suppressLineNumbers w:val="0"/>
              <w:jc w:val="left"/>
              <w:textAlignment w:val="bottom"/>
              <w:rPr>
                <w:rFonts w:ascii="Arial" w:hAnsi="Arial" w:cs="Arial"/>
                <w:color w:val="000000"/>
                <w:kern w:val="0"/>
                <w:sz w:val="18"/>
                <w:szCs w:val="18"/>
              </w:rPr>
            </w:pPr>
            <w:r>
              <w:rPr>
                <w:rFonts w:hint="eastAsia" w:ascii="宋体" w:hAnsi="宋体" w:eastAsia="宋体" w:cs="宋体"/>
                <w:i w:val="0"/>
                <w:iCs w:val="0"/>
                <w:color w:val="000000"/>
                <w:kern w:val="0"/>
                <w:sz w:val="22"/>
                <w:szCs w:val="22"/>
                <w:u w:val="none"/>
                <w:lang w:val="en-US" w:eastAsia="zh-CN" w:bidi="ar"/>
              </w:rPr>
              <w:t>用事业基金弥补收支差额</w:t>
            </w:r>
          </w:p>
        </w:tc>
        <w:tc>
          <w:tcPr>
            <w:tcW w:w="641" w:type="dxa"/>
            <w:tcBorders>
              <w:top w:val="nil"/>
              <w:left w:val="nil"/>
              <w:bottom w:val="nil"/>
              <w:right w:val="nil"/>
            </w:tcBorders>
            <w:vAlign w:val="bottom"/>
          </w:tcPr>
          <w:p>
            <w:pPr>
              <w:jc w:val="left"/>
            </w:pPr>
          </w:p>
        </w:tc>
        <w:tc>
          <w:tcPr>
            <w:tcW w:w="711" w:type="dxa"/>
            <w:tcBorders>
              <w:top w:val="nil"/>
              <w:left w:val="nil"/>
              <w:bottom w:val="nil"/>
              <w:right w:val="nil"/>
            </w:tcBorders>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2"/>
                <w:szCs w:val="22"/>
                <w:u w:val="none"/>
                <w:lang w:val="en-US" w:eastAsia="zh-CN" w:bidi="ar"/>
              </w:rPr>
              <w:t>结转下年</w:t>
            </w:r>
          </w:p>
        </w:tc>
        <w:tc>
          <w:tcPr>
            <w:tcW w:w="2379" w:type="dxa"/>
            <w:tcBorders>
              <w:top w:val="nil"/>
              <w:left w:val="single" w:color="auto" w:sz="4" w:space="0"/>
              <w:bottom w:val="single" w:color="auto" w:sz="4" w:space="0"/>
              <w:right w:val="single" w:color="auto" w:sz="4" w:space="0"/>
            </w:tcBorders>
            <w:vAlign w:val="bottom"/>
          </w:tcPr>
          <w:p>
            <w:pPr>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b/>
                <w:bCs/>
                <w:color w:val="000000"/>
                <w:kern w:val="0"/>
                <w:sz w:val="18"/>
                <w:szCs w:val="18"/>
              </w:rPr>
            </w:pPr>
            <w:r>
              <w:rPr>
                <w:rFonts w:hint="eastAsia" w:ascii="宋体" w:hAnsi="宋体" w:eastAsia="宋体" w:cs="宋体"/>
                <w:i w:val="0"/>
                <w:iCs w:val="0"/>
                <w:color w:val="000000"/>
                <w:kern w:val="0"/>
                <w:sz w:val="22"/>
                <w:szCs w:val="22"/>
                <w:u w:val="none"/>
                <w:lang w:val="en-US" w:eastAsia="zh-CN" w:bidi="ar"/>
              </w:rPr>
              <w:t>上年结转</w:t>
            </w:r>
          </w:p>
        </w:tc>
        <w:tc>
          <w:tcPr>
            <w:tcW w:w="615" w:type="dxa"/>
            <w:tcBorders>
              <w:top w:val="nil"/>
              <w:left w:val="single" w:color="auto" w:sz="4" w:space="0"/>
              <w:bottom w:val="single" w:color="auto" w:sz="4" w:space="0"/>
              <w:right w:val="single" w:color="auto" w:sz="4" w:space="0"/>
            </w:tcBorders>
            <w:vAlign w:val="bottom"/>
          </w:tcPr>
          <w:p>
            <w:pPr>
              <w:jc w:val="left"/>
            </w:pPr>
          </w:p>
        </w:tc>
        <w:tc>
          <w:tcPr>
            <w:tcW w:w="682" w:type="dxa"/>
            <w:tcBorders>
              <w:top w:val="nil"/>
              <w:left w:val="single" w:color="auto" w:sz="4" w:space="0"/>
              <w:bottom w:val="single" w:color="auto" w:sz="4" w:space="0"/>
              <w:right w:val="single" w:color="auto" w:sz="4" w:space="0"/>
            </w:tcBorders>
            <w:vAlign w:val="bottom"/>
          </w:tcPr>
          <w:p>
            <w:pPr>
              <w:jc w:val="left"/>
            </w:pPr>
          </w:p>
        </w:tc>
        <w:tc>
          <w:tcPr>
            <w:tcW w:w="1140" w:type="dxa"/>
            <w:tcBorders>
              <w:top w:val="nil"/>
              <w:left w:val="nil"/>
              <w:bottom w:val="single" w:color="auto" w:sz="4" w:space="0"/>
              <w:right w:val="single" w:color="auto" w:sz="4" w:space="0"/>
            </w:tcBorders>
            <w:vAlign w:val="bottom"/>
          </w:tcPr>
          <w:p>
            <w:pPr>
              <w:jc w:val="right"/>
              <w:rPr>
                <w:rFonts w:ascii="宋体" w:cs="Times New Roman"/>
                <w:b/>
                <w:bCs/>
                <w:color w:val="000000"/>
                <w:kern w:val="0"/>
                <w:sz w:val="18"/>
                <w:szCs w:val="18"/>
              </w:rPr>
            </w:pPr>
          </w:p>
        </w:tc>
        <w:tc>
          <w:tcPr>
            <w:tcW w:w="1128"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b/>
                <w:bCs/>
                <w:color w:val="000000"/>
                <w:kern w:val="0"/>
                <w:sz w:val="18"/>
                <w:szCs w:val="18"/>
              </w:rPr>
            </w:pPr>
            <w:r>
              <w:rPr>
                <w:rFonts w:hint="eastAsia" w:ascii="宋体" w:hAnsi="宋体" w:eastAsia="宋体" w:cs="宋体"/>
                <w:i w:val="0"/>
                <w:iCs w:val="0"/>
                <w:color w:val="000000"/>
                <w:kern w:val="0"/>
                <w:sz w:val="22"/>
                <w:szCs w:val="22"/>
                <w:u w:val="none"/>
                <w:lang w:val="en-US" w:eastAsia="zh-CN" w:bidi="ar"/>
              </w:rPr>
              <w:t>上年结转</w:t>
            </w:r>
          </w:p>
        </w:tc>
        <w:tc>
          <w:tcPr>
            <w:tcW w:w="641" w:type="dxa"/>
            <w:tcBorders>
              <w:top w:val="single" w:color="auto" w:sz="4" w:space="0"/>
              <w:left w:val="nil"/>
              <w:bottom w:val="single" w:color="auto" w:sz="4" w:space="0"/>
              <w:right w:val="single" w:color="auto" w:sz="4" w:space="0"/>
            </w:tcBorders>
            <w:vAlign w:val="bottom"/>
          </w:tcPr>
          <w:p>
            <w:pPr>
              <w:jc w:val="left"/>
            </w:pPr>
          </w:p>
        </w:tc>
        <w:tc>
          <w:tcPr>
            <w:tcW w:w="711" w:type="dxa"/>
            <w:tcBorders>
              <w:top w:val="single" w:color="auto" w:sz="4" w:space="0"/>
              <w:left w:val="nil"/>
              <w:bottom w:val="single" w:color="auto" w:sz="4" w:space="0"/>
              <w:right w:val="single" w:color="auto" w:sz="4" w:space="0"/>
            </w:tcBorders>
            <w:vAlign w:val="bottom"/>
          </w:tcPr>
          <w:p>
            <w:pPr>
              <w:jc w:val="left"/>
            </w:pPr>
          </w:p>
        </w:tc>
        <w:tc>
          <w:tcPr>
            <w:tcW w:w="2379" w:type="dxa"/>
            <w:tcBorders>
              <w:top w:val="nil"/>
              <w:left w:val="nil"/>
              <w:bottom w:val="single" w:color="auto" w:sz="4" w:space="0"/>
              <w:right w:val="single" w:color="auto" w:sz="4" w:space="0"/>
            </w:tcBorders>
            <w:vAlign w:val="bottom"/>
          </w:tcPr>
          <w:p>
            <w:pPr>
              <w:jc w:val="right"/>
              <w:rPr>
                <w:rFonts w:ascii="宋体" w:cs="Times New Roman"/>
                <w:b/>
                <w:bCs/>
                <w:color w:val="000000"/>
                <w:kern w:val="0"/>
                <w:sz w:val="18"/>
                <w:szCs w:val="18"/>
              </w:rPr>
            </w:pPr>
          </w:p>
        </w:tc>
      </w:tr>
      <w:tr>
        <w:tblPrEx>
          <w:tblCellMar>
            <w:top w:w="0" w:type="dxa"/>
            <w:left w:w="108" w:type="dxa"/>
            <w:bottom w:w="0" w:type="dxa"/>
            <w:right w:w="108" w:type="dxa"/>
          </w:tblCellMar>
        </w:tblPrEx>
        <w:trPr>
          <w:trHeight w:val="559" w:hRule="atLeast"/>
        </w:trPr>
        <w:tc>
          <w:tcPr>
            <w:tcW w:w="108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ascii="宋体" w:cs="Times New Roman"/>
                <w:color w:val="000000"/>
                <w:kern w:val="0"/>
                <w:sz w:val="18"/>
                <w:szCs w:val="18"/>
              </w:rPr>
            </w:pPr>
            <w:r>
              <w:rPr>
                <w:rFonts w:hint="eastAsia" w:ascii="黑体" w:hAnsi="宋体" w:eastAsia="黑体" w:cs="黑体"/>
                <w:b/>
                <w:bCs/>
                <w:i w:val="0"/>
                <w:iCs w:val="0"/>
                <w:color w:val="000000"/>
                <w:kern w:val="0"/>
                <w:sz w:val="22"/>
                <w:szCs w:val="22"/>
                <w:u w:val="none"/>
                <w:lang w:val="en-US" w:eastAsia="zh-CN" w:bidi="ar"/>
              </w:rPr>
              <w:t>收入总计</w:t>
            </w:r>
          </w:p>
        </w:tc>
        <w:tc>
          <w:tcPr>
            <w:tcW w:w="615"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pPr>
            <w:r>
              <w:rPr>
                <w:rFonts w:hint="eastAsia" w:ascii="黑体" w:hAnsi="宋体" w:eastAsia="黑体" w:cs="黑体"/>
                <w:i w:val="0"/>
                <w:iCs w:val="0"/>
                <w:color w:val="000000"/>
                <w:kern w:val="0"/>
                <w:sz w:val="22"/>
                <w:szCs w:val="22"/>
                <w:u w:val="none"/>
                <w:lang w:val="en-US" w:eastAsia="zh-CN" w:bidi="ar"/>
              </w:rPr>
              <w:t>444.23</w:t>
            </w:r>
          </w:p>
        </w:tc>
        <w:tc>
          <w:tcPr>
            <w:tcW w:w="682"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pPr>
            <w:r>
              <w:rPr>
                <w:rFonts w:hint="eastAsia" w:ascii="黑体" w:hAnsi="宋体" w:eastAsia="黑体" w:cs="黑体"/>
                <w:b/>
                <w:bCs/>
                <w:i w:val="0"/>
                <w:iCs w:val="0"/>
                <w:color w:val="000000"/>
                <w:kern w:val="0"/>
                <w:sz w:val="22"/>
                <w:szCs w:val="22"/>
                <w:u w:val="none"/>
                <w:lang w:val="en-US" w:eastAsia="zh-CN" w:bidi="ar"/>
              </w:rPr>
              <w:t>支出总计</w:t>
            </w:r>
          </w:p>
        </w:tc>
        <w:tc>
          <w:tcPr>
            <w:tcW w:w="1140"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444.23</w:t>
            </w:r>
          </w:p>
        </w:tc>
        <w:tc>
          <w:tcPr>
            <w:tcW w:w="1128"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cs="Times New Roman"/>
                <w:color w:val="000000"/>
                <w:kern w:val="0"/>
                <w:sz w:val="18"/>
                <w:szCs w:val="18"/>
              </w:rPr>
            </w:pPr>
            <w:r>
              <w:rPr>
                <w:rFonts w:hint="eastAsia" w:ascii="黑体" w:hAnsi="宋体" w:eastAsia="黑体" w:cs="黑体"/>
                <w:b/>
                <w:bCs/>
                <w:i w:val="0"/>
                <w:iCs w:val="0"/>
                <w:color w:val="000000"/>
                <w:kern w:val="0"/>
                <w:sz w:val="22"/>
                <w:szCs w:val="22"/>
                <w:u w:val="none"/>
                <w:lang w:val="en-US" w:eastAsia="zh-CN" w:bidi="ar"/>
              </w:rPr>
              <w:t>收入总计</w:t>
            </w:r>
          </w:p>
        </w:tc>
        <w:tc>
          <w:tcPr>
            <w:tcW w:w="641"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pPr>
            <w:r>
              <w:rPr>
                <w:rFonts w:hint="eastAsia" w:ascii="黑体" w:hAnsi="宋体" w:eastAsia="黑体" w:cs="黑体"/>
                <w:i w:val="0"/>
                <w:iCs w:val="0"/>
                <w:color w:val="000000"/>
                <w:kern w:val="0"/>
                <w:sz w:val="22"/>
                <w:szCs w:val="22"/>
                <w:u w:val="none"/>
                <w:lang w:val="en-US" w:eastAsia="zh-CN" w:bidi="ar"/>
              </w:rPr>
              <w:t>444.23</w:t>
            </w:r>
          </w:p>
        </w:tc>
        <w:tc>
          <w:tcPr>
            <w:tcW w:w="711"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pPr>
            <w:r>
              <w:rPr>
                <w:rFonts w:hint="eastAsia" w:ascii="黑体" w:hAnsi="宋体" w:eastAsia="黑体" w:cs="黑体"/>
                <w:b/>
                <w:bCs/>
                <w:i w:val="0"/>
                <w:iCs w:val="0"/>
                <w:color w:val="000000"/>
                <w:kern w:val="0"/>
                <w:sz w:val="22"/>
                <w:szCs w:val="22"/>
                <w:u w:val="none"/>
                <w:lang w:val="en-US" w:eastAsia="zh-CN" w:bidi="ar"/>
              </w:rPr>
              <w:t>支出总计</w:t>
            </w:r>
          </w:p>
        </w:tc>
        <w:tc>
          <w:tcPr>
            <w:tcW w:w="2379"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444.23</w:t>
            </w:r>
          </w:p>
        </w:tc>
      </w:tr>
      <w:tr>
        <w:tblPrEx>
          <w:tblCellMar>
            <w:top w:w="0" w:type="dxa"/>
            <w:left w:w="108" w:type="dxa"/>
            <w:bottom w:w="0" w:type="dxa"/>
            <w:right w:w="108" w:type="dxa"/>
          </w:tblCellMar>
        </w:tblPrEx>
        <w:trPr>
          <w:trHeight w:val="559" w:hRule="atLeast"/>
        </w:trPr>
        <w:tc>
          <w:tcPr>
            <w:tcW w:w="2380" w:type="dxa"/>
            <w:gridSpan w:val="3"/>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部门（单位）名称：二道区长青社区卫生服务中心</w:t>
            </w:r>
          </w:p>
        </w:tc>
        <w:tc>
          <w:tcPr>
            <w:tcW w:w="1140"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单位：万元</w:t>
            </w:r>
          </w:p>
        </w:tc>
        <w:tc>
          <w:tcPr>
            <w:tcW w:w="2480" w:type="dxa"/>
            <w:gridSpan w:val="3"/>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部门（单位）名称：二道区长青社区卫生服务中心</w:t>
            </w:r>
          </w:p>
        </w:tc>
        <w:tc>
          <w:tcPr>
            <w:tcW w:w="2379"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cs="Times New Roman"/>
                <w:color w:val="000000"/>
                <w:kern w:val="0"/>
                <w:sz w:val="18"/>
                <w:szCs w:val="18"/>
              </w:rPr>
            </w:pPr>
            <w:r>
              <w:rPr>
                <w:rFonts w:hint="eastAsia" w:ascii="宋体" w:hAnsi="宋体" w:eastAsia="宋体" w:cs="宋体"/>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559" w:hRule="atLeast"/>
        </w:trPr>
        <w:tc>
          <w:tcPr>
            <w:tcW w:w="1698" w:type="dxa"/>
            <w:gridSpan w:val="2"/>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ascii="黑体" w:hAnsi="黑体" w:eastAsia="黑体" w:cs="Times New Roman"/>
                <w:b/>
                <w:bCs/>
                <w:color w:val="000000"/>
                <w:kern w:val="0"/>
                <w:sz w:val="18"/>
                <w:szCs w:val="18"/>
              </w:rPr>
            </w:pPr>
            <w:r>
              <w:rPr>
                <w:rFonts w:hint="eastAsia" w:ascii="宋体" w:hAnsi="宋体" w:eastAsia="宋体" w:cs="宋体"/>
                <w:i w:val="0"/>
                <w:iCs w:val="0"/>
                <w:color w:val="000000"/>
                <w:kern w:val="0"/>
                <w:sz w:val="28"/>
                <w:szCs w:val="28"/>
                <w:u w:val="none"/>
                <w:lang w:val="en-US" w:eastAsia="zh-CN" w:bidi="ar"/>
              </w:rPr>
              <w:t>收</w:t>
            </w:r>
            <w:r>
              <w:rPr>
                <w:rStyle w:val="9"/>
                <w:rFonts w:eastAsia="宋体"/>
                <w:lang w:val="en-US" w:eastAsia="zh-CN" w:bidi="ar"/>
              </w:rPr>
              <w:t xml:space="preserve">      </w:t>
            </w:r>
            <w:r>
              <w:rPr>
                <w:rStyle w:val="10"/>
                <w:lang w:val="en-US" w:eastAsia="zh-CN" w:bidi="ar"/>
              </w:rPr>
              <w:t>入</w:t>
            </w:r>
          </w:p>
        </w:tc>
        <w:tc>
          <w:tcPr>
            <w:tcW w:w="1822" w:type="dxa"/>
            <w:gridSpan w:val="2"/>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8"/>
                <w:szCs w:val="28"/>
                <w:u w:val="none"/>
                <w:lang w:val="en-US" w:eastAsia="zh-CN" w:bidi="ar"/>
              </w:rPr>
              <w:t>支</w:t>
            </w:r>
            <w:r>
              <w:rPr>
                <w:rStyle w:val="9"/>
                <w:rFonts w:eastAsia="宋体"/>
                <w:lang w:val="en-US" w:eastAsia="zh-CN" w:bidi="ar"/>
              </w:rPr>
              <w:t xml:space="preserve">      </w:t>
            </w:r>
            <w:r>
              <w:rPr>
                <w:rStyle w:val="10"/>
                <w:lang w:val="en-US" w:eastAsia="zh-CN" w:bidi="ar"/>
              </w:rPr>
              <w:t>出</w:t>
            </w:r>
          </w:p>
        </w:tc>
        <w:tc>
          <w:tcPr>
            <w:tcW w:w="1769" w:type="dxa"/>
            <w:gridSpan w:val="2"/>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黑体" w:hAnsi="黑体" w:eastAsia="黑体" w:cs="黑体"/>
                <w:b/>
                <w:bCs/>
                <w:color w:val="000000"/>
                <w:kern w:val="0"/>
                <w:sz w:val="18"/>
                <w:szCs w:val="18"/>
                <w:lang w:val="en-US" w:eastAsia="zh-CN"/>
              </w:rPr>
            </w:pPr>
            <w:r>
              <w:rPr>
                <w:rFonts w:hint="eastAsia" w:ascii="宋体" w:hAnsi="宋体" w:eastAsia="宋体" w:cs="宋体"/>
                <w:i w:val="0"/>
                <w:iCs w:val="0"/>
                <w:color w:val="000000"/>
                <w:kern w:val="0"/>
                <w:sz w:val="28"/>
                <w:szCs w:val="28"/>
                <w:u w:val="none"/>
                <w:lang w:val="en-US" w:eastAsia="zh-CN" w:bidi="ar"/>
              </w:rPr>
              <w:t>收</w:t>
            </w:r>
            <w:r>
              <w:rPr>
                <w:rStyle w:val="9"/>
                <w:rFonts w:eastAsia="宋体"/>
                <w:lang w:val="en-US" w:eastAsia="zh-CN" w:bidi="ar"/>
              </w:rPr>
              <w:t xml:space="preserve">      </w:t>
            </w:r>
            <w:r>
              <w:rPr>
                <w:rStyle w:val="10"/>
                <w:lang w:val="en-US" w:eastAsia="zh-CN" w:bidi="ar"/>
              </w:rPr>
              <w:t>入</w:t>
            </w:r>
          </w:p>
        </w:tc>
        <w:tc>
          <w:tcPr>
            <w:tcW w:w="3090" w:type="dxa"/>
            <w:gridSpan w:val="2"/>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eastAsia="宋体" w:cs="Times New Roman"/>
                <w:b/>
                <w:bCs/>
                <w:color w:val="000000"/>
                <w:kern w:val="0"/>
                <w:sz w:val="18"/>
                <w:szCs w:val="18"/>
                <w:lang w:eastAsia="zh-CN"/>
              </w:rPr>
            </w:pPr>
            <w:r>
              <w:rPr>
                <w:rFonts w:hint="eastAsia" w:ascii="宋体" w:hAnsi="宋体" w:eastAsia="宋体" w:cs="宋体"/>
                <w:i w:val="0"/>
                <w:iCs w:val="0"/>
                <w:color w:val="000000"/>
                <w:kern w:val="0"/>
                <w:sz w:val="28"/>
                <w:szCs w:val="28"/>
                <w:u w:val="none"/>
                <w:lang w:val="en-US" w:eastAsia="zh-CN" w:bidi="ar"/>
              </w:rPr>
              <w:t>支</w:t>
            </w:r>
            <w:r>
              <w:rPr>
                <w:rStyle w:val="9"/>
                <w:rFonts w:eastAsia="宋体"/>
                <w:lang w:val="en-US" w:eastAsia="zh-CN" w:bidi="ar"/>
              </w:rPr>
              <w:t xml:space="preserve">      </w:t>
            </w:r>
            <w:r>
              <w:rPr>
                <w:rStyle w:val="10"/>
                <w:lang w:val="en-US" w:eastAsia="zh-CN" w:bidi="ar"/>
              </w:rPr>
              <w:t>出</w: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5"/>
        <w:tblpPr w:leftFromText="180" w:rightFromText="180" w:vertAnchor="text" w:horzAnchor="page" w:tblpX="107" w:tblpY="2635"/>
        <w:tblOverlap w:val="never"/>
        <w:tblW w:w="176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6"/>
        <w:gridCol w:w="1514"/>
        <w:gridCol w:w="1877"/>
        <w:gridCol w:w="1413"/>
        <w:gridCol w:w="1160"/>
        <w:gridCol w:w="925"/>
        <w:gridCol w:w="1213"/>
        <w:gridCol w:w="2326"/>
        <w:gridCol w:w="1406"/>
        <w:gridCol w:w="1406"/>
        <w:gridCol w:w="140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7608" w:type="dxa"/>
            <w:gridSpan w:val="12"/>
            <w:tcBorders>
              <w:top w:val="nil"/>
              <w:left w:val="nil"/>
              <w:bottom w:val="nil"/>
              <w:right w:val="nil"/>
            </w:tcBorders>
            <w:shd w:val="clear" w:color="auto" w:fill="auto"/>
            <w:noWrap/>
            <w:vAlign w:val="bottom"/>
          </w:tcPr>
          <w:p>
            <w:pPr>
              <w:keepNext w:val="0"/>
              <w:keepLines w:val="0"/>
              <w:widowControl/>
              <w:suppressLineNumbers w:val="0"/>
              <w:ind w:firstLine="361" w:firstLineChars="10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4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功能科目编码（类款项）</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功能科目名称</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政府性基金预算财政拨款</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事业收入</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事业单位经营收入</w:t>
            </w:r>
          </w:p>
        </w:tc>
        <w:tc>
          <w:tcPr>
            <w:tcW w:w="2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其他收入</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上级补助收入</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附属单位上缴收入</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用事业基金弥补收支差额</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2010101</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444.23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rPr>
            </w:pPr>
            <w:r>
              <w:rPr>
                <w:rFonts w:hint="eastAsia" w:ascii="Arial" w:hAnsi="Arial" w:cs="Arial"/>
                <w:i w:val="0"/>
                <w:iCs w:val="0"/>
                <w:color w:val="000000"/>
                <w:kern w:val="0"/>
                <w:sz w:val="20"/>
                <w:szCs w:val="20"/>
                <w:u w:val="none"/>
                <w:lang w:val="en-US" w:eastAsia="zh-CN" w:bidi="ar"/>
              </w:rPr>
              <w:t>444.23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2010102</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rPr>
            </w:pPr>
            <w:r>
              <w:rPr>
                <w:rFonts w:hint="eastAsia" w:ascii="Arial" w:hAnsi="Arial" w:cs="Arial"/>
                <w:i w:val="0"/>
                <w:iCs w:val="0"/>
                <w:color w:val="000000"/>
                <w:kern w:val="0"/>
                <w:sz w:val="20"/>
                <w:szCs w:val="20"/>
                <w:u w:val="none"/>
                <w:lang w:val="en-US" w:eastAsia="zh-CN" w:bidi="ar"/>
              </w:rPr>
              <w:t>444.23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rPr>
            </w:pPr>
            <w:r>
              <w:rPr>
                <w:rFonts w:hint="eastAsia" w:ascii="Arial" w:hAnsi="Arial" w:cs="Arial"/>
                <w:i w:val="0"/>
                <w:iCs w:val="0"/>
                <w:color w:val="000000"/>
                <w:kern w:val="0"/>
                <w:sz w:val="20"/>
                <w:szCs w:val="20"/>
                <w:u w:val="none"/>
                <w:lang w:val="en-US" w:eastAsia="zh-CN" w:bidi="ar"/>
              </w:rPr>
              <w:t>444.23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99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2"/>
        <w:gridCol w:w="1416"/>
        <w:gridCol w:w="1242"/>
        <w:gridCol w:w="1242"/>
        <w:gridCol w:w="1128"/>
        <w:gridCol w:w="1128"/>
        <w:gridCol w:w="112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9942"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124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功能科目编码（类款项）</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功能科目名称</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上缴上级支出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事业单位经营支出</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对下级补助支出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rPr>
            </w:pPr>
            <w:r>
              <w:rPr>
                <w:rFonts w:hint="eastAsia" w:ascii="Arial" w:hAnsi="Arial" w:cs="Arial"/>
                <w:i w:val="0"/>
                <w:iCs w:val="0"/>
                <w:color w:val="000000"/>
                <w:kern w:val="0"/>
                <w:sz w:val="20"/>
                <w:szCs w:val="20"/>
                <w:u w:val="none"/>
                <w:lang w:val="en-US" w:eastAsia="zh-CN" w:bidi="ar"/>
              </w:rPr>
              <w:t>444.23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rPr>
            </w:pPr>
            <w:r>
              <w:rPr>
                <w:rFonts w:hint="eastAsia" w:ascii="Arial" w:hAnsi="Arial" w:cs="Arial"/>
                <w:i w:val="0"/>
                <w:iCs w:val="0"/>
                <w:color w:val="000000"/>
                <w:kern w:val="0"/>
                <w:sz w:val="20"/>
                <w:szCs w:val="20"/>
                <w:u w:val="none"/>
                <w:lang w:val="en-US" w:eastAsia="zh-CN" w:bidi="ar"/>
              </w:rPr>
              <w:t>444.23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rPr>
            </w:pPr>
            <w:r>
              <w:rPr>
                <w:rFonts w:hint="eastAsia" w:ascii="Arial" w:hAnsi="Arial" w:cs="Arial"/>
                <w:i w:val="0"/>
                <w:iCs w:val="0"/>
                <w:color w:val="000000"/>
                <w:kern w:val="0"/>
                <w:sz w:val="20"/>
                <w:szCs w:val="20"/>
                <w:u w:val="none"/>
                <w:lang w:val="en-US" w:eastAsia="zh-CN" w:bidi="ar"/>
              </w:rPr>
              <w:t>444.23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rPr>
            </w:pPr>
            <w:r>
              <w:rPr>
                <w:rFonts w:hint="eastAsia" w:ascii="Arial" w:hAnsi="Arial" w:cs="Arial"/>
                <w:i w:val="0"/>
                <w:iCs w:val="0"/>
                <w:color w:val="000000"/>
                <w:kern w:val="0"/>
                <w:sz w:val="20"/>
                <w:szCs w:val="20"/>
                <w:u w:val="none"/>
                <w:lang w:val="en-US" w:eastAsia="zh-CN" w:bidi="ar"/>
              </w:rPr>
              <w:t>444.23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444.23</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w:t>
      </w:r>
      <w:r>
        <w:rPr>
          <w:rFonts w:hint="eastAsia" w:ascii="宋体" w:hAnsi="宋体" w:cs="宋体"/>
          <w:color w:val="3E3E3E"/>
          <w:kern w:val="0"/>
          <w:sz w:val="32"/>
          <w:szCs w:val="32"/>
          <w:lang w:val="en-US" w:eastAsia="zh-CN"/>
        </w:rPr>
        <w:t>444.23</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198</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444.23</w:t>
      </w:r>
      <w:r>
        <w:rPr>
          <w:rFonts w:hint="eastAsia" w:ascii="宋体" w:hAnsi="宋体" w:cs="宋体"/>
          <w:color w:val="3E3E3E"/>
          <w:kern w:val="0"/>
          <w:sz w:val="32"/>
          <w:szCs w:val="32"/>
        </w:rPr>
        <w:t>万元。</w:t>
      </w:r>
    </w:p>
    <w:p>
      <w:pPr>
        <w:autoSpaceDE w:val="0"/>
        <w:autoSpaceDN w:val="0"/>
        <w:adjustRightInd w:val="0"/>
        <w:rPr>
          <w:rFonts w:ascii="宋体" w:cs="Times New Roman"/>
          <w:b/>
          <w:bCs/>
          <w:kern w:val="0"/>
          <w:sz w:val="32"/>
          <w:szCs w:val="32"/>
        </w:rPr>
      </w:pPr>
      <w:r>
        <w:rPr>
          <w:rFonts w:ascii="宋体" w:hAnsi="宋体" w:cs="宋体"/>
          <w:color w:val="3E3E3E"/>
          <w:kern w:val="0"/>
          <w:sz w:val="32"/>
          <w:szCs w:val="32"/>
        </w:rPr>
        <w:t xml:space="preserve">   </w:t>
      </w: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7F327"/>
    <w:multiLevelType w:val="singleLevel"/>
    <w:tmpl w:val="A1E7F327"/>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MjI0MzJkYWY5NGVhNWUxZWVjZjRlNjk0MzkxZDk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10BA0A99"/>
    <w:rsid w:val="22057A5E"/>
    <w:rsid w:val="254C2FF9"/>
    <w:rsid w:val="286E25A3"/>
    <w:rsid w:val="2A875AA9"/>
    <w:rsid w:val="33A16F2C"/>
    <w:rsid w:val="390013D8"/>
    <w:rsid w:val="3CFD4E00"/>
    <w:rsid w:val="3D23659A"/>
    <w:rsid w:val="46DA1818"/>
    <w:rsid w:val="51444915"/>
    <w:rsid w:val="53C42C27"/>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 w:type="character" w:customStyle="1" w:styleId="9">
    <w:name w:val="font91"/>
    <w:basedOn w:val="6"/>
    <w:qFormat/>
    <w:uiPriority w:val="0"/>
    <w:rPr>
      <w:rFonts w:hint="default" w:ascii="Times New Roman" w:hAnsi="Times New Roman" w:cs="Times New Roman"/>
      <w:color w:val="000000"/>
      <w:sz w:val="28"/>
      <w:szCs w:val="28"/>
      <w:u w:val="none"/>
    </w:rPr>
  </w:style>
  <w:style w:type="character" w:customStyle="1" w:styleId="10">
    <w:name w:val="font01"/>
    <w:basedOn w:val="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24</Pages>
  <Words>6338</Words>
  <Characters>7070</Characters>
  <Lines>0</Lines>
  <Paragraphs>0</Paragraphs>
  <TotalTime>0</TotalTime>
  <ScaleCrop>false</ScaleCrop>
  <LinksUpToDate>false</LinksUpToDate>
  <CharactersWithSpaces>7858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原来结局总是空</cp:lastModifiedBy>
  <dcterms:modified xsi:type="dcterms:W3CDTF">2023-01-09T02:26:16Z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B9A4DAFD19984C9BA6F0CFCB56D97D68_13</vt:lpwstr>
  </property>
</Properties>
</file>