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方正小标宋简体"/>
          <w:sz w:val="44"/>
          <w:szCs w:val="44"/>
        </w:rPr>
      </w:pPr>
      <w:r>
        <w:rPr>
          <w:rFonts w:ascii="Arial" w:hAnsi="Arial" w:eastAsia="方正小标宋简体" w:cs="Arial"/>
          <w:sz w:val="44"/>
          <w:szCs w:val="44"/>
        </w:rPr>
        <w:t>20</w:t>
      </w:r>
      <w:r>
        <w:rPr>
          <w:rFonts w:hint="eastAsia" w:ascii="Arial" w:hAnsi="Arial" w:eastAsia="方正小标宋简体" w:cs="Arial"/>
          <w:sz w:val="44"/>
          <w:szCs w:val="44"/>
        </w:rPr>
        <w:t>2</w:t>
      </w:r>
      <w:r>
        <w:rPr>
          <w:rFonts w:hint="eastAsia" w:ascii="Arial" w:hAnsi="Arial" w:eastAsia="方正小标宋简体" w:cs="Arial"/>
          <w:sz w:val="44"/>
          <w:szCs w:val="44"/>
          <w:lang w:val="en-US" w:eastAsia="zh-CN"/>
        </w:rPr>
        <w:t>3</w:t>
      </w:r>
      <w:r>
        <w:rPr>
          <w:rFonts w:hint="eastAsia" w:ascii="Arial" w:hAnsi="Arial" w:eastAsia="方正小标宋简体" w:cs="方正小标宋简体"/>
          <w:sz w:val="44"/>
          <w:szCs w:val="44"/>
        </w:rPr>
        <w:t>年长春市二道区区委编办</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bookmarkStart w:id="0" w:name="_GoBack"/>
      <w:bookmarkEnd w:id="0"/>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spacing w:line="540" w:lineRule="exact"/>
        <w:jc w:val="center"/>
        <w:outlineLvl w:val="1"/>
        <w:rPr>
          <w:rFonts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lang w:eastAsia="zh-CN"/>
        </w:rPr>
        <w:t>二〇二三年一月九日</w:t>
      </w: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eastAsia="zh-CN"/>
        </w:rPr>
        <w:t>2023</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eastAsia="zh-CN"/>
        </w:rPr>
        <w:t>2023</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eastAsia="zh-CN"/>
        </w:rPr>
        <w:t>2023</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eastAsia="zh-CN"/>
        </w:rPr>
        <w:t>2023</w:t>
      </w:r>
      <w:r>
        <w:rPr>
          <w:rFonts w:hint="eastAsia" w:ascii="仿宋_GB2312" w:hAnsi="仿宋" w:eastAsia="仿宋_GB2312" w:cs="仿宋_GB2312"/>
          <w:sz w:val="32"/>
          <w:szCs w:val="32"/>
        </w:rPr>
        <w:t>年一般公共预算“三公”经费支出表情况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eastAsia="zh-CN"/>
        </w:rPr>
        <w:t>2023</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eastAsia="zh-CN"/>
        </w:rPr>
        <w:t>2023</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eastAsia="zh-CN"/>
        </w:rPr>
        <w:t>2023</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eastAsia="zh-CN"/>
        </w:rPr>
        <w:t>2023</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hint="eastAsia" w:ascii="宋体" w:hAnsi="宋体" w:cs="宋体"/>
          <w:sz w:val="44"/>
          <w:szCs w:val="44"/>
          <w:lang w:eastAsia="zh-CN"/>
        </w:rPr>
        <w:t>2023</w:t>
      </w:r>
      <w:r>
        <w:rPr>
          <w:rFonts w:hint="eastAsia" w:ascii="宋体" w:hAnsi="宋体" w:cs="宋体"/>
          <w:sz w:val="44"/>
          <w:szCs w:val="44"/>
        </w:rPr>
        <w:t>年度长春市二道区区委编办</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第一条  贯彻执行有关机构编制方面的方针、政策及法令、规定。</w:t>
      </w:r>
    </w:p>
    <w:p>
      <w:pPr>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第二条  研究拟定行政管理体制改革和机构改革的总体方案，审核区级党、政、群机关各部门的机构改革方案；指导区直机关各部门和乡、街的行政管理体制改革和机构改革工作。</w:t>
      </w:r>
    </w:p>
    <w:p>
      <w:pPr>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第三条  拟订机构编制管理的办法和规章。统一管理全区党政机关、人大、政协、法院、检察院机关，各民主党派、人民团体机关以及事业单位的机构编制工作。</w:t>
      </w:r>
    </w:p>
    <w:p>
      <w:pPr>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第四条  管理区委、区政府各部门的职能配置及调整工作。协调各部门之间、各部门与街乡之间的职责分工。</w:t>
      </w:r>
    </w:p>
    <w:p>
      <w:pPr>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第五条  审批区委、区政府各部门、区人大、区政协、区法院、区检察院和各民主党派、人民团体机关内部机构的设置。</w:t>
      </w:r>
    </w:p>
    <w:p>
      <w:pPr>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第六条  监督、检查和指导各级机关、各部门及事业单位机构编制工作。</w:t>
      </w:r>
    </w:p>
    <w:p>
      <w:pPr>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第七条  完成区委、区政府和中央、省、市机构编制委员会交办的其他工作任务。</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cs="Times New Roman"/>
          <w:b/>
          <w:bCs/>
          <w:color w:val="3E3E3E"/>
          <w:kern w:val="0"/>
          <w:sz w:val="32"/>
          <w:szCs w:val="32"/>
        </w:rPr>
        <w:t>二、内设机构</w:t>
      </w:r>
    </w:p>
    <w:p>
      <w:pPr>
        <w:tabs>
          <w:tab w:val="left" w:pos="426"/>
        </w:tabs>
        <w:overflowPunct w:val="0"/>
        <w:topLinePunct/>
        <w:spacing w:line="360" w:lineRule="auto"/>
        <w:ind w:firstLine="643" w:firstLineChars="200"/>
        <w:textAlignment w:val="baseline"/>
        <w:rPr>
          <w:rFonts w:asciiTheme="minorEastAsia" w:hAnsiTheme="minorEastAsia" w:eastAsiaTheme="minorEastAsia"/>
          <w:sz w:val="32"/>
          <w:szCs w:val="32"/>
        </w:rPr>
      </w:pPr>
      <w:r>
        <w:rPr>
          <w:rFonts w:hint="eastAsia" w:asciiTheme="minorEastAsia" w:hAnsiTheme="minorEastAsia" w:eastAsiaTheme="minorEastAsia"/>
          <w:b/>
          <w:sz w:val="32"/>
          <w:szCs w:val="32"/>
        </w:rPr>
        <w:t>综合科（监督检查科）科室职责</w:t>
      </w:r>
      <w:r>
        <w:rPr>
          <w:rFonts w:hint="eastAsia" w:asciiTheme="minorEastAsia" w:hAnsiTheme="minorEastAsia" w:eastAsiaTheme="minorEastAsia"/>
          <w:sz w:val="32"/>
          <w:szCs w:val="32"/>
        </w:rPr>
        <w:t>：</w:t>
      </w:r>
    </w:p>
    <w:p>
      <w:pPr>
        <w:tabs>
          <w:tab w:val="left" w:pos="426"/>
        </w:tabs>
        <w:overflowPunct w:val="0"/>
        <w:topLinePunct/>
        <w:spacing w:line="360" w:lineRule="auto"/>
        <w:ind w:firstLine="640" w:firstLineChars="200"/>
        <w:textAlignment w:val="baseline"/>
        <w:rPr>
          <w:rFonts w:asciiTheme="minorEastAsia" w:hAnsiTheme="minorEastAsia" w:eastAsiaTheme="minorEastAsia"/>
          <w:sz w:val="32"/>
          <w:szCs w:val="32"/>
        </w:rPr>
      </w:pPr>
      <w:r>
        <w:rPr>
          <w:rFonts w:hint="eastAsia" w:asciiTheme="minorEastAsia" w:hAnsiTheme="minorEastAsia" w:eastAsiaTheme="minorEastAsia"/>
          <w:sz w:val="32"/>
          <w:szCs w:val="32"/>
        </w:rPr>
        <w:t>1、负责区编委、区编办工作计划、工作总结、综合材料的起草拟定、工作；协助编办领导对政务、事务等有关工作进行综合协调和督促检查；负责编办政务运行和各项管理工作制度的起草制定及组织实施工作；负责重要会议的组织、文电处理、秘书事务、档案、保密保卫、信访、接待、提案和议案办复工作；负责本部门财务、固定资产等后勤管理工作；管理机关公共事务和行政工作；机构编制综合调研及信息资料汇集、分析工作；负责审批国家机关、事业单位职工全员工资基金总额。</w:t>
      </w:r>
    </w:p>
    <w:p>
      <w:pPr>
        <w:overflowPunct w:val="0"/>
        <w:topLinePunct/>
        <w:spacing w:line="360" w:lineRule="auto"/>
        <w:ind w:firstLine="640" w:firstLineChars="200"/>
        <w:textAlignment w:val="baseline"/>
        <w:rPr>
          <w:rFonts w:asciiTheme="minorEastAsia" w:hAnsiTheme="minorEastAsia" w:eastAsiaTheme="minorEastAsia"/>
          <w:sz w:val="32"/>
          <w:szCs w:val="32"/>
        </w:rPr>
      </w:pPr>
      <w:r>
        <w:rPr>
          <w:rFonts w:hint="eastAsia" w:asciiTheme="minorEastAsia" w:hAnsiTheme="minorEastAsia" w:eastAsiaTheme="minorEastAsia"/>
          <w:sz w:val="32"/>
          <w:szCs w:val="32"/>
        </w:rPr>
        <w:t>2、检查、监督全区机关事业单位贯彻执行国家和省市区有关行政管理体制、机构改革和机构编制管理方针、政策、法规的执行情况，并提出建议及处理意见。</w:t>
      </w:r>
    </w:p>
    <w:p>
      <w:pPr>
        <w:overflowPunct w:val="0"/>
        <w:topLinePunct/>
        <w:spacing w:line="360" w:lineRule="auto"/>
        <w:ind w:firstLine="643" w:firstLineChars="200"/>
        <w:textAlignment w:val="baseline"/>
        <w:rPr>
          <w:rFonts w:asciiTheme="minorEastAsia" w:hAnsiTheme="minorEastAsia" w:eastAsiaTheme="minorEastAsia"/>
          <w:b/>
          <w:sz w:val="32"/>
          <w:szCs w:val="32"/>
        </w:rPr>
      </w:pPr>
      <w:r>
        <w:rPr>
          <w:rFonts w:hint="eastAsia" w:asciiTheme="minorEastAsia" w:hAnsiTheme="minorEastAsia" w:eastAsiaTheme="minorEastAsia"/>
          <w:b/>
          <w:sz w:val="32"/>
          <w:szCs w:val="32"/>
        </w:rPr>
        <w:t>机构编制科科室职责：</w:t>
      </w:r>
    </w:p>
    <w:p>
      <w:pPr>
        <w:overflowPunct w:val="0"/>
        <w:topLinePunct/>
        <w:spacing w:line="360" w:lineRule="auto"/>
        <w:ind w:firstLine="640" w:firstLineChars="200"/>
        <w:textAlignment w:val="baseline"/>
        <w:rPr>
          <w:rFonts w:asciiTheme="minorEastAsia" w:hAnsiTheme="minorEastAsia" w:eastAsiaTheme="minorEastAsia"/>
          <w:sz w:val="32"/>
          <w:szCs w:val="32"/>
        </w:rPr>
      </w:pPr>
      <w:r>
        <w:rPr>
          <w:rFonts w:hint="eastAsia" w:asciiTheme="minorEastAsia" w:hAnsiTheme="minorEastAsia" w:eastAsiaTheme="minorEastAsia"/>
          <w:sz w:val="32"/>
          <w:szCs w:val="32"/>
        </w:rPr>
        <w:t>负责起草全区机关各部门及事业单位机构改革的总体方案；负责起草区编委、编办文件；负责审核全区机关各部门机构改革方案、内设机构和人员编制及领导职数；负责区机关、乡(镇)、街机关、事业单位机构编制管理工作；协调区机关各部门的职能配置及其调整，协调区委、区政府各部门之间的职责分工；协调区机关各部门与乡（镇）、街之间的职责分工。审核区属各类事业单位的机构改革方案以及机构设置、人员编制、领导职数和规格等。审议和承办区直事业单位相当于副处级以上事业单位规格的呈报审批手续。</w:t>
      </w:r>
    </w:p>
    <w:p>
      <w:pPr>
        <w:overflowPunct w:val="0"/>
        <w:topLinePunct/>
        <w:spacing w:line="360" w:lineRule="auto"/>
        <w:ind w:firstLine="643" w:firstLineChars="200"/>
        <w:textAlignment w:val="baseline"/>
        <w:rPr>
          <w:rFonts w:asciiTheme="minorEastAsia" w:hAnsiTheme="minorEastAsia" w:eastAsiaTheme="minorEastAsia"/>
          <w:b/>
          <w:sz w:val="32"/>
          <w:szCs w:val="32"/>
        </w:rPr>
      </w:pPr>
      <w:r>
        <w:rPr>
          <w:rFonts w:hint="eastAsia" w:asciiTheme="minorEastAsia" w:hAnsiTheme="minorEastAsia" w:eastAsiaTheme="minorEastAsia"/>
          <w:b/>
          <w:sz w:val="32"/>
          <w:szCs w:val="32"/>
        </w:rPr>
        <w:t>事业单位登记管理科科室职责：</w:t>
      </w:r>
    </w:p>
    <w:p>
      <w:pPr>
        <w:overflowPunct w:val="0"/>
        <w:topLinePunct/>
        <w:spacing w:line="360" w:lineRule="auto"/>
        <w:ind w:firstLine="640" w:firstLineChars="200"/>
        <w:textAlignment w:val="baseline"/>
        <w:rPr>
          <w:rFonts w:asciiTheme="minorEastAsia" w:hAnsiTheme="minorEastAsia" w:eastAsiaTheme="minorEastAsia"/>
          <w:sz w:val="32"/>
          <w:szCs w:val="32"/>
        </w:rPr>
      </w:pPr>
      <w:r>
        <w:rPr>
          <w:rFonts w:hint="eastAsia" w:asciiTheme="minorEastAsia" w:hAnsiTheme="minorEastAsia" w:eastAsiaTheme="minorEastAsia"/>
          <w:sz w:val="32"/>
          <w:szCs w:val="32"/>
        </w:rPr>
        <w:t>依法组织实施全区事业单位登记管理工作，保护全区核准登记或备案的事业单位有关登记事项的合法权益；监督全区事业单位贯彻落实事业单位登记管理的法律法规情况，处理违规事件；负责区属事业单位登记管理和年度检查工作；组织全区事业单位登记管理信息统计和联网工作。</w:t>
      </w:r>
    </w:p>
    <w:p>
      <w:pPr>
        <w:overflowPunct w:val="0"/>
        <w:topLinePunct/>
        <w:spacing w:line="360" w:lineRule="auto"/>
        <w:ind w:firstLine="643" w:firstLineChars="200"/>
        <w:textAlignment w:val="baseline"/>
        <w:rPr>
          <w:rFonts w:asciiTheme="minorEastAsia" w:hAnsiTheme="minorEastAsia" w:eastAsiaTheme="minorEastAsia"/>
          <w:b/>
          <w:sz w:val="32"/>
          <w:szCs w:val="32"/>
        </w:rPr>
      </w:pPr>
      <w:r>
        <w:rPr>
          <w:rFonts w:hint="eastAsia" w:asciiTheme="minorEastAsia" w:hAnsiTheme="minorEastAsia" w:eastAsiaTheme="minorEastAsia"/>
          <w:b/>
          <w:sz w:val="32"/>
          <w:szCs w:val="32"/>
        </w:rPr>
        <w:t>长春市二道区机构编制电子政务中心职责：</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Theme="minorEastAsia" w:hAnsiTheme="minorEastAsia" w:eastAsiaTheme="minorEastAsia"/>
          <w:sz w:val="32"/>
          <w:szCs w:val="32"/>
        </w:rPr>
        <w:t>负责全区机构编制统计、汇总、上报,编印机构编制资料汇编，组织指导全区机构编制信息的采集、整理、分析、发布，负责机关信息化建设和办公自动化管理及省机构编制人员实名制（二道部分）信息网络维护，负责互联网对外宣传工作，负责区编办重大会议、活动影像和声音资料的收集、整理，负责信息技术方面人员的培训和业务咨询工作，参与上级编办和区编办布置交办的课题研究工作。负责机关电子政务和信息化建设日常工作，负责本地的机构编制信息化建设工作；承担上级委托的政务和公益域名注册管理及网站开办审核和资质复核工作。落实上级机构编制部门电子政务规划、计划。</w:t>
      </w:r>
    </w:p>
    <w:p>
      <w:pPr>
        <w:widowControl/>
        <w:spacing w:before="100" w:beforeAutospacing="1" w:after="100" w:afterAutospacing="1"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tabs>
          <w:tab w:val="center" w:pos="4153"/>
        </w:tabs>
        <w:ind w:firstLine="640" w:firstLineChars="200"/>
        <w:rPr>
          <w:rFonts w:ascii="宋体" w:cs="Times New Roman"/>
          <w:color w:val="3E3E3E"/>
          <w:kern w:val="0"/>
          <w:sz w:val="32"/>
          <w:szCs w:val="32"/>
        </w:rPr>
      </w:pPr>
      <w:r>
        <w:rPr>
          <w:rFonts w:hint="eastAsia" w:ascii="宋体" w:hAnsi="宋体" w:cs="宋体"/>
          <w:color w:val="3E3E3E"/>
          <w:kern w:val="0"/>
          <w:sz w:val="32"/>
          <w:szCs w:val="32"/>
        </w:rPr>
        <w:t>　　中共长春市二道区机构编制委员会办公室</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ind w:firstLine="640" w:firstLineChars="200"/>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仿宋_GB2312" w:hAnsi="仿宋" w:eastAsia="仿宋_GB2312"/>
          <w:sz w:val="32"/>
          <w:szCs w:val="32"/>
          <w:lang w:eastAsia="zh-CN"/>
        </w:rPr>
        <w:t>2023</w:t>
      </w:r>
      <w:r>
        <w:rPr>
          <w:rFonts w:hint="eastAsia" w:ascii="仿宋_GB2312" w:hAnsi="仿宋" w:eastAsia="仿宋_GB2312"/>
          <w:sz w:val="32"/>
          <w:szCs w:val="32"/>
        </w:rPr>
        <w:t>年实有人员</w:t>
      </w:r>
      <w:r>
        <w:rPr>
          <w:rFonts w:hint="eastAsia" w:ascii="仿宋_GB2312" w:hAnsi="仿宋" w:eastAsia="仿宋_GB2312"/>
          <w:sz w:val="32"/>
          <w:szCs w:val="32"/>
          <w:lang w:val="en-US" w:eastAsia="zh-CN"/>
        </w:rPr>
        <w:t>13</w:t>
      </w:r>
      <w:r>
        <w:rPr>
          <w:rFonts w:hint="eastAsia" w:ascii="仿宋_GB2312" w:hAnsi="仿宋" w:eastAsia="仿宋_GB2312"/>
          <w:sz w:val="32"/>
          <w:szCs w:val="32"/>
        </w:rPr>
        <w:t>人，其中：在职人员</w:t>
      </w:r>
      <w:r>
        <w:rPr>
          <w:rFonts w:hint="eastAsia" w:ascii="仿宋_GB2312" w:hAnsi="仿宋" w:eastAsia="仿宋_GB2312"/>
          <w:sz w:val="32"/>
          <w:szCs w:val="32"/>
          <w:lang w:val="en-US" w:eastAsia="zh-CN"/>
        </w:rPr>
        <w:t>13</w:t>
      </w:r>
      <w:r>
        <w:rPr>
          <w:rFonts w:hint="eastAsia" w:ascii="仿宋_GB2312" w:hAnsi="仿宋" w:eastAsia="仿宋_GB2312"/>
          <w:sz w:val="32"/>
          <w:szCs w:val="32"/>
        </w:rPr>
        <w:t>人，退休人员</w:t>
      </w:r>
      <w:r>
        <w:rPr>
          <w:rFonts w:hint="eastAsia" w:ascii="仿宋_GB2312" w:hAnsi="仿宋" w:eastAsia="仿宋_GB2312"/>
          <w:sz w:val="32"/>
          <w:szCs w:val="32"/>
          <w:lang w:val="en-US" w:eastAsia="zh-CN"/>
        </w:rPr>
        <w:t>3</w:t>
      </w:r>
      <w:r>
        <w:rPr>
          <w:rFonts w:hint="eastAsia" w:ascii="仿宋_GB2312" w:hAnsi="仿宋" w:eastAsia="仿宋_GB2312"/>
          <w:sz w:val="32"/>
          <w:szCs w:val="32"/>
        </w:rPr>
        <w:t>人。</w:t>
      </w: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hAnsi="宋体" w:cs="宋体"/>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hAnsi="宋体" w:cs="宋体"/>
          <w:color w:val="3E3E3E"/>
          <w:kern w:val="0"/>
          <w:sz w:val="32"/>
          <w:szCs w:val="32"/>
        </w:rPr>
      </w:pPr>
      <w:r>
        <w:drawing>
          <wp:inline distT="0" distB="0" distL="114300" distR="114300">
            <wp:extent cx="5269230" cy="2054860"/>
            <wp:effectExtent l="0" t="0" r="7620" b="254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4"/>
                    <a:stretch>
                      <a:fillRect/>
                    </a:stretch>
                  </pic:blipFill>
                  <pic:spPr>
                    <a:xfrm>
                      <a:off x="0" y="0"/>
                      <a:ext cx="5269230" cy="2054860"/>
                    </a:xfrm>
                    <a:prstGeom prst="rect">
                      <a:avLst/>
                    </a:prstGeom>
                    <a:noFill/>
                    <a:ln>
                      <a:noFill/>
                    </a:ln>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hAnsi="宋体" w:cs="宋体"/>
          <w:color w:val="3E3E3E"/>
          <w:kern w:val="0"/>
          <w:sz w:val="32"/>
          <w:szCs w:val="32"/>
        </w:rPr>
      </w:pPr>
      <w:r>
        <w:drawing>
          <wp:inline distT="0" distB="0" distL="114300" distR="114300">
            <wp:extent cx="5265420" cy="2625090"/>
            <wp:effectExtent l="0" t="0" r="11430" b="381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5"/>
                    <a:stretch>
                      <a:fillRect/>
                    </a:stretch>
                  </pic:blipFill>
                  <pic:spPr>
                    <a:xfrm>
                      <a:off x="0" y="0"/>
                      <a:ext cx="5265420" cy="2625090"/>
                    </a:xfrm>
                    <a:prstGeom prst="rect">
                      <a:avLst/>
                    </a:prstGeom>
                    <a:noFill/>
                    <a:ln>
                      <a:noFill/>
                    </a:ln>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drawing>
          <wp:inline distT="0" distB="0" distL="114300" distR="114300">
            <wp:extent cx="5272405" cy="2682240"/>
            <wp:effectExtent l="0" t="0" r="4445" b="381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6"/>
                    <a:stretch>
                      <a:fillRect/>
                    </a:stretch>
                  </pic:blipFill>
                  <pic:spPr>
                    <a:xfrm>
                      <a:off x="0" y="0"/>
                      <a:ext cx="5272405" cy="2682240"/>
                    </a:xfrm>
                    <a:prstGeom prst="rect">
                      <a:avLst/>
                    </a:prstGeom>
                    <a:noFill/>
                    <a:ln>
                      <a:noFill/>
                    </a:ln>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drawing>
          <wp:inline distT="0" distB="0" distL="114300" distR="114300">
            <wp:extent cx="5273040" cy="3180080"/>
            <wp:effectExtent l="0" t="0" r="381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3040" cy="3180080"/>
                    </a:xfrm>
                    <a:prstGeom prst="rect">
                      <a:avLst/>
                    </a:prstGeom>
                    <a:noFill/>
                    <a:ln>
                      <a:noFill/>
                    </a:ln>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drawing>
          <wp:inline distT="0" distB="0" distL="114300" distR="114300">
            <wp:extent cx="5270500" cy="2708275"/>
            <wp:effectExtent l="0" t="0" r="6350"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0500" cy="2708275"/>
                    </a:xfrm>
                    <a:prstGeom prst="rect">
                      <a:avLst/>
                    </a:prstGeom>
                    <a:noFill/>
                    <a:ln>
                      <a:noFill/>
                    </a:ln>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drawing>
          <wp:inline distT="0" distB="0" distL="114300" distR="114300">
            <wp:extent cx="5271135" cy="3371215"/>
            <wp:effectExtent l="0" t="0" r="5715" b="63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9"/>
                    <a:stretch>
                      <a:fillRect/>
                    </a:stretch>
                  </pic:blipFill>
                  <pic:spPr>
                    <a:xfrm>
                      <a:off x="0" y="0"/>
                      <a:ext cx="5271135" cy="3371215"/>
                    </a:xfrm>
                    <a:prstGeom prst="rect">
                      <a:avLst/>
                    </a:prstGeom>
                    <a:noFill/>
                    <a:ln>
                      <a:noFill/>
                    </a:ln>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p>
      <w:pPr>
        <w:spacing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w:t>
      </w: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r>
        <w:drawing>
          <wp:inline distT="0" distB="0" distL="114300" distR="114300">
            <wp:extent cx="5263515" cy="2099310"/>
            <wp:effectExtent l="0" t="0" r="13335" b="1524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0"/>
                    <a:stretch>
                      <a:fillRect/>
                    </a:stretch>
                  </pic:blipFill>
                  <pic:spPr>
                    <a:xfrm>
                      <a:off x="0" y="0"/>
                      <a:ext cx="5263515" cy="2099310"/>
                    </a:xfrm>
                    <a:prstGeom prst="rect">
                      <a:avLst/>
                    </a:prstGeom>
                    <a:noFill/>
                    <a:ln>
                      <a:noFill/>
                    </a:ln>
                  </pic:spPr>
                </pic:pic>
              </a:graphicData>
            </a:graphic>
          </wp:inline>
        </w:drawing>
      </w: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hAnsi="宋体" w:cs="宋体"/>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p>
      <w:pPr>
        <w:spacing w:line="360" w:lineRule="auto"/>
        <w:ind w:firstLine="645"/>
        <w:jc w:val="left"/>
        <w:rPr>
          <w:rFonts w:ascii="宋体" w:hAnsi="宋体" w:cs="宋体"/>
          <w:color w:val="3E3E3E"/>
          <w:kern w:val="0"/>
          <w:sz w:val="32"/>
          <w:szCs w:val="32"/>
        </w:rPr>
      </w:pPr>
      <w:r>
        <w:drawing>
          <wp:inline distT="0" distB="0" distL="114300" distR="114300">
            <wp:extent cx="5266055" cy="3573145"/>
            <wp:effectExtent l="0" t="0" r="10795" b="825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1"/>
                    <a:stretch>
                      <a:fillRect/>
                    </a:stretch>
                  </pic:blipFill>
                  <pic:spPr>
                    <a:xfrm>
                      <a:off x="0" y="0"/>
                      <a:ext cx="5266055" cy="3573145"/>
                    </a:xfrm>
                    <a:prstGeom prst="rect">
                      <a:avLst/>
                    </a:prstGeom>
                    <a:noFill/>
                    <a:ln>
                      <a:noFill/>
                    </a:ln>
                  </pic:spPr>
                </pic:pic>
              </a:graphicData>
            </a:graphic>
          </wp:inline>
        </w:drawing>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一、</w:t>
      </w:r>
      <w:r>
        <w:rPr>
          <w:rFonts w:hint="eastAsia" w:ascii="宋体" w:hAnsi="宋体" w:cs="宋体"/>
          <w:b/>
          <w:bCs/>
          <w:color w:val="3E3E3E"/>
          <w:kern w:val="0"/>
          <w:sz w:val="32"/>
          <w:szCs w:val="32"/>
          <w:lang w:eastAsia="zh-CN"/>
        </w:rPr>
        <w:t>2023</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jc w:val="left"/>
        <w:rPr>
          <w:rFonts w:ascii="宋体" w:hAnsi="宋体" w:cs="宋体"/>
          <w:color w:val="3E3E3E"/>
          <w:kern w:val="0"/>
          <w:sz w:val="32"/>
          <w:szCs w:val="32"/>
        </w:rPr>
      </w:pP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年财政拨款</w:t>
      </w:r>
      <w:r>
        <w:rPr>
          <w:rFonts w:hint="eastAsia" w:ascii="宋体" w:hAnsi="宋体" w:cs="宋体"/>
          <w:color w:val="3E3E3E"/>
          <w:kern w:val="0"/>
          <w:sz w:val="32"/>
          <w:szCs w:val="32"/>
          <w:lang w:val="en-US" w:eastAsia="zh-CN"/>
        </w:rPr>
        <w:t>353.31</w:t>
      </w:r>
      <w:r>
        <w:rPr>
          <w:rFonts w:hint="eastAsia" w:ascii="宋体" w:hAnsi="宋体" w:cs="宋体"/>
          <w:color w:val="3E3E3E"/>
          <w:kern w:val="0"/>
          <w:sz w:val="32"/>
          <w:szCs w:val="32"/>
        </w:rPr>
        <w:t>万元</w:t>
      </w:r>
      <w:r>
        <w:rPr>
          <w:rFonts w:ascii="宋体" w:cs="宋体"/>
          <w:color w:val="3E3E3E"/>
          <w:kern w:val="0"/>
          <w:sz w:val="32"/>
          <w:szCs w:val="32"/>
        </w:rPr>
        <w:t>,</w:t>
      </w:r>
    </w:p>
    <w:p>
      <w:pPr>
        <w:widowControl/>
        <w:spacing w:before="100" w:beforeAutospacing="1" w:after="100" w:afterAutospacing="1" w:line="360" w:lineRule="auto"/>
        <w:jc w:val="left"/>
        <w:rPr>
          <w:rFonts w:ascii="宋体" w:cs="宋体"/>
          <w:color w:val="3E3E3E"/>
          <w:kern w:val="0"/>
          <w:sz w:val="32"/>
          <w:szCs w:val="32"/>
        </w:rPr>
      </w:pPr>
      <w:r>
        <w:rPr>
          <w:rFonts w:hint="eastAsia" w:ascii="宋体" w:hAnsi="宋体" w:cs="宋体"/>
          <w:color w:val="3E3E3E"/>
          <w:kern w:val="0"/>
          <w:sz w:val="32"/>
          <w:szCs w:val="32"/>
        </w:rPr>
        <w:t>收入合计</w:t>
      </w:r>
      <w:r>
        <w:rPr>
          <w:rFonts w:hint="eastAsia" w:ascii="宋体" w:hAnsi="宋体" w:cs="宋体"/>
          <w:color w:val="3E3E3E"/>
          <w:kern w:val="0"/>
          <w:sz w:val="32"/>
          <w:szCs w:val="32"/>
          <w:lang w:val="en-US" w:eastAsia="zh-CN"/>
        </w:rPr>
        <w:t>353.31</w:t>
      </w:r>
      <w:r>
        <w:rPr>
          <w:rFonts w:hint="eastAsia" w:ascii="宋体" w:hAnsi="宋体" w:cs="宋体"/>
          <w:color w:val="3E3E3E"/>
          <w:kern w:val="0"/>
          <w:sz w:val="32"/>
          <w:szCs w:val="32"/>
        </w:rPr>
        <w:t>万元</w:t>
      </w:r>
      <w:r>
        <w:rPr>
          <w:rFonts w:asci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年财政预算支出</w:t>
      </w:r>
      <w:r>
        <w:rPr>
          <w:rFonts w:hint="eastAsia" w:ascii="宋体" w:hAnsi="宋体" w:cs="宋体"/>
          <w:color w:val="3E3E3E"/>
          <w:kern w:val="0"/>
          <w:sz w:val="32"/>
          <w:szCs w:val="32"/>
          <w:lang w:val="en-US" w:eastAsia="zh-CN"/>
        </w:rPr>
        <w:t>353.31</w:t>
      </w:r>
      <w:r>
        <w:rPr>
          <w:rFonts w:hint="eastAsia" w:ascii="宋体" w:hAnsi="宋体" w:cs="宋体"/>
          <w:color w:val="3E3E3E"/>
          <w:kern w:val="0"/>
          <w:sz w:val="32"/>
          <w:szCs w:val="32"/>
        </w:rPr>
        <w:t>万元，其中，基本支出</w:t>
      </w:r>
      <w:r>
        <w:rPr>
          <w:rFonts w:hint="eastAsia" w:ascii="宋体" w:hAnsi="宋体" w:cs="宋体"/>
          <w:color w:val="3E3E3E"/>
          <w:kern w:val="0"/>
          <w:sz w:val="32"/>
          <w:szCs w:val="32"/>
          <w:lang w:val="en-US" w:eastAsia="zh-CN"/>
        </w:rPr>
        <w:t>344.57</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8.74</w:t>
      </w:r>
      <w:r>
        <w:rPr>
          <w:rFonts w:hint="eastAsia" w:ascii="宋体" w:hAnsi="宋体" w:cs="宋体"/>
          <w:color w:val="3E3E3E"/>
          <w:kern w:val="0"/>
          <w:sz w:val="32"/>
          <w:szCs w:val="32"/>
        </w:rPr>
        <w:t>万元。</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二、一般公共预算支出表说明</w:t>
      </w:r>
    </w:p>
    <w:p>
      <w:pPr>
        <w:widowControl/>
        <w:spacing w:before="100" w:beforeAutospacing="1" w:after="100" w:afterAutospacing="1" w:line="360" w:lineRule="auto"/>
        <w:ind w:firstLine="636"/>
        <w:jc w:val="left"/>
        <w:rPr>
          <w:rFonts w:ascii="宋体" w:hAnsi="宋体" w:cs="宋体"/>
          <w:color w:val="3E3E3E"/>
          <w:kern w:val="0"/>
          <w:sz w:val="32"/>
          <w:szCs w:val="32"/>
        </w:rPr>
      </w:pPr>
      <w:r>
        <w:rPr>
          <w:rFonts w:hint="eastAsia" w:ascii="宋体" w:hAnsi="宋体" w:cs="宋体"/>
          <w:color w:val="3E3E3E"/>
          <w:kern w:val="0"/>
          <w:sz w:val="32"/>
          <w:szCs w:val="32"/>
        </w:rPr>
        <w:t>一般公共服务支出</w:t>
      </w:r>
      <w:r>
        <w:rPr>
          <w:rFonts w:hint="eastAsia" w:ascii="宋体" w:hAnsi="宋体" w:cs="宋体"/>
          <w:color w:val="3E3E3E"/>
          <w:kern w:val="0"/>
          <w:sz w:val="32"/>
          <w:szCs w:val="32"/>
          <w:lang w:val="en-US" w:eastAsia="zh-CN"/>
        </w:rPr>
        <w:t>353.31</w:t>
      </w:r>
      <w:r>
        <w:rPr>
          <w:rFonts w:hint="eastAsia" w:ascii="宋体" w:hAnsi="宋体" w:cs="宋体"/>
          <w:color w:val="3E3E3E"/>
          <w:kern w:val="0"/>
          <w:sz w:val="32"/>
          <w:szCs w:val="32"/>
        </w:rPr>
        <w:t>万元，行政运行</w:t>
      </w:r>
      <w:r>
        <w:rPr>
          <w:rFonts w:hint="eastAsia" w:ascii="宋体" w:hAnsi="宋体" w:cs="宋体"/>
          <w:color w:val="3E3E3E"/>
          <w:kern w:val="0"/>
          <w:sz w:val="32"/>
          <w:szCs w:val="32"/>
          <w:lang w:val="en-US" w:eastAsia="zh-CN"/>
        </w:rPr>
        <w:t>353.31</w:t>
      </w:r>
      <w:r>
        <w:rPr>
          <w:rFonts w:hint="eastAsia" w:ascii="宋体" w:hAnsi="宋体" w:cs="宋体"/>
          <w:color w:val="3E3E3E"/>
          <w:kern w:val="0"/>
          <w:sz w:val="32"/>
          <w:szCs w:val="32"/>
        </w:rPr>
        <w:t>万元。</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hint="eastAsia" w:ascii="宋体" w:hAnsi="宋体" w:cs="宋体"/>
          <w:color w:val="3E3E3E"/>
          <w:kern w:val="0"/>
          <w:sz w:val="32"/>
          <w:szCs w:val="32"/>
          <w:lang w:val="en-US" w:eastAsia="zh-CN"/>
        </w:rPr>
        <w:t>318.88</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hAnsi="宋体" w:cs="宋体"/>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hint="eastAsia" w:ascii="宋体" w:hAnsi="宋体" w:cs="宋体"/>
          <w:color w:val="3E3E3E"/>
          <w:kern w:val="0"/>
          <w:sz w:val="32"/>
          <w:szCs w:val="32"/>
          <w:lang w:val="en-US" w:eastAsia="zh-CN"/>
        </w:rPr>
        <w:t>25.69</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hAnsi="宋体" w:cs="宋体"/>
          <w:color w:val="3E3E3E"/>
          <w:kern w:val="0"/>
          <w:sz w:val="32"/>
          <w:szCs w:val="32"/>
        </w:rPr>
      </w:pPr>
      <w:r>
        <w:rPr>
          <w:rFonts w:hint="eastAsia" w:ascii="宋体" w:hAnsi="宋体" w:cs="宋体"/>
          <w:color w:val="3E3E3E"/>
          <w:kern w:val="0"/>
          <w:sz w:val="32"/>
          <w:szCs w:val="32"/>
        </w:rPr>
        <w:t>3.医疗保险</w:t>
      </w:r>
      <w:r>
        <w:rPr>
          <w:rFonts w:hint="eastAsia" w:ascii="宋体" w:hAnsi="宋体" w:cs="宋体"/>
          <w:color w:val="3E3E3E"/>
          <w:kern w:val="0"/>
          <w:sz w:val="32"/>
          <w:szCs w:val="32"/>
          <w:lang w:val="en-US" w:eastAsia="zh-CN"/>
        </w:rPr>
        <w:t>18.09</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hAnsi="宋体" w:cs="宋体"/>
          <w:color w:val="3E3E3E"/>
          <w:kern w:val="0"/>
          <w:sz w:val="32"/>
          <w:szCs w:val="32"/>
        </w:rPr>
      </w:pPr>
      <w:r>
        <w:rPr>
          <w:rFonts w:hint="eastAsia" w:ascii="宋体" w:hAnsi="宋体" w:cs="宋体"/>
          <w:color w:val="3E3E3E"/>
          <w:kern w:val="0"/>
          <w:sz w:val="32"/>
          <w:szCs w:val="32"/>
        </w:rPr>
        <w:t>4.养老保险</w:t>
      </w:r>
      <w:r>
        <w:rPr>
          <w:rFonts w:hint="eastAsia" w:ascii="宋体" w:hAnsi="宋体" w:cs="宋体"/>
          <w:color w:val="3E3E3E"/>
          <w:kern w:val="0"/>
          <w:sz w:val="32"/>
          <w:szCs w:val="32"/>
          <w:lang w:val="en-US" w:eastAsia="zh-CN"/>
        </w:rPr>
        <w:t>20.36</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hAnsi="宋体" w:cs="宋体"/>
          <w:color w:val="3E3E3E"/>
          <w:kern w:val="0"/>
          <w:sz w:val="32"/>
          <w:szCs w:val="32"/>
        </w:rPr>
      </w:pPr>
      <w:r>
        <w:rPr>
          <w:rFonts w:hint="eastAsia" w:ascii="宋体" w:hAnsi="宋体" w:cs="宋体"/>
          <w:color w:val="3E3E3E"/>
          <w:kern w:val="0"/>
          <w:sz w:val="32"/>
          <w:szCs w:val="32"/>
        </w:rPr>
        <w:t>5工伤保险</w:t>
      </w:r>
      <w:r>
        <w:rPr>
          <w:rFonts w:hint="eastAsia" w:ascii="宋体" w:hAnsi="宋体" w:cs="宋体"/>
          <w:color w:val="3E3E3E"/>
          <w:kern w:val="0"/>
          <w:sz w:val="32"/>
          <w:szCs w:val="32"/>
          <w:lang w:val="en-US" w:eastAsia="zh-CN"/>
        </w:rPr>
        <w:t>0.5</w:t>
      </w:r>
      <w:r>
        <w:rPr>
          <w:rFonts w:hint="eastAsia" w:ascii="宋体" w:hAnsi="宋体" w:cs="宋体"/>
          <w:color w:val="3E3E3E"/>
          <w:kern w:val="0"/>
          <w:sz w:val="32"/>
          <w:szCs w:val="32"/>
        </w:rPr>
        <w:t>万元</w:t>
      </w:r>
    </w:p>
    <w:p>
      <w:pPr>
        <w:widowControl/>
        <w:spacing w:before="100" w:beforeAutospacing="1" w:after="100" w:afterAutospacing="1" w:line="360" w:lineRule="auto"/>
        <w:ind w:firstLine="960" w:firstLineChars="3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hint="eastAsia" w:ascii="宋体" w:hAnsi="宋体" w:cs="宋体"/>
          <w:color w:val="3E3E3E"/>
          <w:kern w:val="0"/>
          <w:sz w:val="32"/>
          <w:szCs w:val="32"/>
          <w:lang w:val="en-US" w:eastAsia="zh-CN"/>
        </w:rPr>
        <w:t>344.57</w:t>
      </w:r>
      <w:r>
        <w:rPr>
          <w:rFonts w:hint="eastAsia" w:ascii="宋体" w:hAnsi="宋体" w:cs="宋体"/>
          <w:color w:val="3E3E3E"/>
          <w:kern w:val="0"/>
          <w:sz w:val="32"/>
          <w:szCs w:val="32"/>
        </w:rPr>
        <w:t>万元。</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四、</w:t>
      </w:r>
      <w:r>
        <w:rPr>
          <w:rFonts w:hint="eastAsia" w:ascii="宋体" w:hAnsi="宋体" w:cs="宋体"/>
          <w:b/>
          <w:bCs/>
          <w:color w:val="3E3E3E"/>
          <w:kern w:val="0"/>
          <w:sz w:val="32"/>
          <w:szCs w:val="32"/>
          <w:lang w:eastAsia="zh-CN"/>
        </w:rPr>
        <w:t>2023</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经费预算数0万元，同比下降0</w:t>
      </w:r>
      <w:r>
        <w:rPr>
          <w:rFonts w:ascii="宋体" w:hAnsi="宋体" w:cs="宋体"/>
          <w:color w:val="3E3E3E"/>
          <w:kern w:val="0"/>
          <w:sz w:val="32"/>
          <w:szCs w:val="32"/>
        </w:rPr>
        <w:t>%</w:t>
      </w:r>
      <w:r>
        <w:rPr>
          <w:rFonts w:hint="eastAsia" w:ascii="宋体" w:hAns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其中</w:t>
      </w:r>
      <w:r>
        <w:rPr>
          <w:rFonts w:ascii="宋体" w:hAnsi="宋体" w:cs="宋体"/>
          <w:color w:val="3E3E3E"/>
          <w:kern w:val="0"/>
          <w:sz w:val="32"/>
          <w:szCs w:val="32"/>
        </w:rPr>
        <w:t>1</w:t>
      </w:r>
      <w:r>
        <w:rPr>
          <w:rFonts w:hint="eastAsia" w:ascii="宋体" w:hAnsi="宋体" w:cs="宋体"/>
          <w:color w:val="3E3E3E"/>
          <w:kern w:val="0"/>
          <w:sz w:val="32"/>
          <w:szCs w:val="32"/>
        </w:rPr>
        <w:t>、公务用车费0万元，同比下降0</w:t>
      </w:r>
      <w:r>
        <w:rPr>
          <w:rFonts w:ascii="宋体" w:hAnsi="宋体" w:cs="宋体"/>
          <w:color w:val="3E3E3E"/>
          <w:kern w:val="0"/>
          <w:sz w:val="32"/>
          <w:szCs w:val="32"/>
        </w:rPr>
        <w:t>%</w:t>
      </w:r>
      <w:r>
        <w:rPr>
          <w:rFonts w:hint="eastAsia" w:ascii="宋体" w:hAnsi="宋体" w:cs="宋体"/>
          <w:color w:val="3E3E3E"/>
          <w:kern w:val="0"/>
          <w:sz w:val="32"/>
          <w:szCs w:val="32"/>
        </w:rPr>
        <w:t>。</w:t>
      </w:r>
    </w:p>
    <w:p>
      <w:pPr>
        <w:spacing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w:t>
      </w:r>
      <w:r>
        <w:rPr>
          <w:rFonts w:hint="eastAsia" w:ascii="宋体" w:hAnsi="宋体" w:cs="宋体"/>
          <w:color w:val="3E3E3E"/>
          <w:kern w:val="0"/>
          <w:sz w:val="32"/>
          <w:szCs w:val="32"/>
        </w:rPr>
        <w:t>、公务接待费0万元，同比下降0</w:t>
      </w:r>
      <w:r>
        <w:rPr>
          <w:rFonts w:ascii="宋体" w:hAnsi="宋体" w:cs="宋体"/>
          <w:color w:val="3E3E3E"/>
          <w:kern w:val="0"/>
          <w:sz w:val="32"/>
          <w:szCs w:val="32"/>
        </w:rPr>
        <w:t>%</w:t>
      </w:r>
      <w:r>
        <w:rPr>
          <w:rFonts w:hint="eastAsia" w:ascii="宋体" w:hAnsi="宋体" w:cs="宋体"/>
          <w:color w:val="3E3E3E"/>
          <w:kern w:val="0"/>
          <w:sz w:val="32"/>
          <w:szCs w:val="32"/>
        </w:rPr>
        <w:t>。</w:t>
      </w:r>
    </w:p>
    <w:p>
      <w:pPr>
        <w:autoSpaceDE w:val="0"/>
        <w:autoSpaceDN w:val="0"/>
        <w:adjustRightInd w:val="0"/>
        <w:ind w:firstLine="640" w:firstLineChars="200"/>
        <w:jc w:val="left"/>
        <w:rPr>
          <w:rFonts w:ascii="宋体" w:cs="Times New Roman"/>
          <w:color w:val="3E3E3E"/>
          <w:kern w:val="0"/>
          <w:sz w:val="32"/>
          <w:szCs w:val="32"/>
        </w:rPr>
      </w:pPr>
    </w:p>
    <w:p>
      <w:pPr>
        <w:autoSpaceDE w:val="0"/>
        <w:autoSpaceDN w:val="0"/>
        <w:adjustRightInd w:val="0"/>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五、政府性基金预算说明</w:t>
      </w:r>
    </w:p>
    <w:p>
      <w:pPr>
        <w:autoSpaceDE w:val="0"/>
        <w:autoSpaceDN w:val="0"/>
        <w:adjustRightInd w:val="0"/>
        <w:ind w:firstLine="640" w:firstLineChars="200"/>
        <w:jc w:val="left"/>
        <w:rPr>
          <w:rFonts w:ascii="宋体" w:hAnsi="宋体" w:cs="宋体"/>
          <w:color w:val="3E3E3E"/>
          <w:kern w:val="0"/>
          <w:sz w:val="32"/>
          <w:szCs w:val="32"/>
        </w:rPr>
      </w:pPr>
      <w:r>
        <w:rPr>
          <w:rFonts w:hint="eastAsia" w:ascii="宋体" w:hAnsi="宋体" w:cs="宋体"/>
          <w:color w:val="3E3E3E"/>
          <w:kern w:val="0"/>
          <w:sz w:val="32"/>
          <w:szCs w:val="32"/>
        </w:rPr>
        <w:t>长春市二道区委编办无政府性基金预算，故此表数值为空。</w:t>
      </w:r>
    </w:p>
    <w:p>
      <w:pPr>
        <w:autoSpaceDE w:val="0"/>
        <w:autoSpaceDN w:val="0"/>
        <w:adjustRightInd w:val="0"/>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六、部门收支表说明</w:t>
      </w:r>
    </w:p>
    <w:p>
      <w:pPr>
        <w:autoSpaceDE w:val="0"/>
        <w:autoSpaceDN w:val="0"/>
        <w:adjustRightInd w:val="0"/>
        <w:ind w:firstLine="640" w:firstLineChars="200"/>
        <w:jc w:val="left"/>
        <w:rPr>
          <w:rFonts w:ascii="宋体" w:hAnsi="宋体" w:cs="宋体"/>
          <w:color w:val="3E3E3E"/>
          <w:kern w:val="0"/>
          <w:sz w:val="32"/>
          <w:szCs w:val="32"/>
        </w:rPr>
      </w:pPr>
      <w:r>
        <w:rPr>
          <w:rFonts w:hint="eastAsia" w:ascii="宋体" w:hAnsi="宋体" w:cs="宋体"/>
          <w:color w:val="3E3E3E"/>
          <w:kern w:val="0"/>
          <w:sz w:val="32"/>
          <w:szCs w:val="32"/>
        </w:rPr>
        <w:t>区委编办</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年总收入</w:t>
      </w:r>
      <w:r>
        <w:rPr>
          <w:rFonts w:hint="eastAsia" w:ascii="宋体" w:hAnsi="宋体" w:cs="宋体"/>
          <w:color w:val="3E3E3E"/>
          <w:kern w:val="0"/>
          <w:sz w:val="32"/>
          <w:szCs w:val="32"/>
          <w:lang w:val="en-US" w:eastAsia="zh-CN"/>
        </w:rPr>
        <w:t>353.31</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353.31</w:t>
      </w:r>
      <w:r>
        <w:rPr>
          <w:rFonts w:hint="eastAsia" w:ascii="宋体" w:hAnsi="宋体" w:cs="宋体"/>
          <w:color w:val="3E3E3E"/>
          <w:kern w:val="0"/>
          <w:sz w:val="32"/>
          <w:szCs w:val="32"/>
        </w:rPr>
        <w:t>万元，政府性基金0万元。</w:t>
      </w:r>
    </w:p>
    <w:p>
      <w:pPr>
        <w:autoSpaceDE w:val="0"/>
        <w:autoSpaceDN w:val="0"/>
        <w:adjustRightInd w:val="0"/>
        <w:ind w:firstLine="640" w:firstLineChars="200"/>
        <w:jc w:val="left"/>
        <w:rPr>
          <w:rFonts w:ascii="宋体" w:hAnsi="宋体" w:cs="宋体"/>
          <w:color w:val="3E3E3E"/>
          <w:kern w:val="0"/>
          <w:sz w:val="32"/>
          <w:szCs w:val="32"/>
        </w:rPr>
      </w:pPr>
      <w:r>
        <w:rPr>
          <w:rFonts w:hint="eastAsia" w:ascii="宋体" w:hAnsi="宋体" w:cs="宋体"/>
          <w:color w:val="3E3E3E"/>
          <w:kern w:val="0"/>
          <w:sz w:val="32"/>
          <w:szCs w:val="32"/>
        </w:rPr>
        <w:t>一般公共服务支出</w:t>
      </w:r>
      <w:r>
        <w:rPr>
          <w:rFonts w:hint="eastAsia" w:ascii="宋体" w:hAnsi="宋体" w:cs="宋体"/>
          <w:color w:val="3E3E3E"/>
          <w:kern w:val="0"/>
          <w:sz w:val="32"/>
          <w:szCs w:val="32"/>
          <w:lang w:val="en-US" w:eastAsia="zh-CN"/>
        </w:rPr>
        <w:t>344.57</w:t>
      </w:r>
      <w:r>
        <w:rPr>
          <w:rFonts w:hint="eastAsia" w:ascii="宋体" w:hAnsi="宋体" w:cs="宋体"/>
          <w:color w:val="3E3E3E"/>
          <w:kern w:val="0"/>
          <w:sz w:val="32"/>
          <w:szCs w:val="32"/>
        </w:rPr>
        <w:t>元，项目支出</w:t>
      </w:r>
      <w:r>
        <w:rPr>
          <w:rFonts w:hint="eastAsia" w:ascii="宋体" w:hAnsi="宋体" w:cs="宋体"/>
          <w:color w:val="3E3E3E"/>
          <w:kern w:val="0"/>
          <w:sz w:val="32"/>
          <w:szCs w:val="32"/>
          <w:lang w:val="en-US" w:eastAsia="zh-CN"/>
        </w:rPr>
        <w:t>8.74</w:t>
      </w:r>
      <w:r>
        <w:rPr>
          <w:rFonts w:hint="eastAsia" w:ascii="宋体" w:hAnsi="宋体" w:cs="宋体"/>
          <w:color w:val="3E3E3E"/>
          <w:kern w:val="0"/>
          <w:sz w:val="32"/>
          <w:szCs w:val="32"/>
        </w:rPr>
        <w:t>万元。</w:t>
      </w:r>
    </w:p>
    <w:p>
      <w:pPr>
        <w:autoSpaceDE w:val="0"/>
        <w:autoSpaceDN w:val="0"/>
        <w:adjustRightInd w:val="0"/>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七、部门收入总表情况</w:t>
      </w:r>
    </w:p>
    <w:p>
      <w:pPr>
        <w:autoSpaceDE w:val="0"/>
        <w:autoSpaceDN w:val="0"/>
        <w:adjustRightInd w:val="0"/>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长春市二道区委编办总收入</w:t>
      </w:r>
      <w:r>
        <w:rPr>
          <w:rFonts w:hint="eastAsia" w:ascii="宋体" w:hAnsi="宋体" w:cs="宋体"/>
          <w:color w:val="3E3E3E"/>
          <w:kern w:val="0"/>
          <w:sz w:val="32"/>
          <w:szCs w:val="32"/>
          <w:lang w:val="en-US" w:eastAsia="zh-CN"/>
        </w:rPr>
        <w:t>353.31</w:t>
      </w:r>
      <w:r>
        <w:rPr>
          <w:rFonts w:hint="eastAsia" w:ascii="宋体" w:hAnsi="宋体" w:cs="宋体"/>
          <w:color w:val="3E3E3E"/>
          <w:kern w:val="0"/>
          <w:sz w:val="32"/>
          <w:szCs w:val="32"/>
        </w:rPr>
        <w:t>万元</w:t>
      </w:r>
    </w:p>
    <w:p>
      <w:pPr>
        <w:autoSpaceDE w:val="0"/>
        <w:autoSpaceDN w:val="0"/>
        <w:adjustRightInd w:val="0"/>
        <w:ind w:firstLine="643" w:firstLineChars="200"/>
        <w:jc w:val="left"/>
        <w:rPr>
          <w:rFonts w:ascii="宋体" w:cs="Times New Roman"/>
          <w:color w:val="3E3E3E"/>
          <w:kern w:val="0"/>
          <w:sz w:val="32"/>
          <w:szCs w:val="32"/>
        </w:rPr>
      </w:pPr>
      <w:r>
        <w:rPr>
          <w:rFonts w:hint="eastAsia" w:ascii="宋体" w:hAnsi="宋体" w:cs="宋体"/>
          <w:b/>
          <w:bCs/>
          <w:color w:val="3E3E3E"/>
          <w:kern w:val="0"/>
          <w:sz w:val="32"/>
          <w:szCs w:val="32"/>
        </w:rPr>
        <w:t>八、部门支出总表情况</w:t>
      </w:r>
    </w:p>
    <w:p>
      <w:pPr>
        <w:autoSpaceDE w:val="0"/>
        <w:autoSpaceDN w:val="0"/>
        <w:adjustRightInd w:val="0"/>
        <w:ind w:firstLine="640" w:firstLineChars="200"/>
        <w:jc w:val="left"/>
        <w:rPr>
          <w:rFonts w:ascii="宋体" w:hAnsi="宋体" w:cs="宋体"/>
          <w:color w:val="3E3E3E"/>
          <w:kern w:val="0"/>
          <w:sz w:val="32"/>
          <w:szCs w:val="32"/>
        </w:rPr>
      </w:pPr>
      <w:r>
        <w:rPr>
          <w:rFonts w:hint="eastAsia" w:ascii="宋体" w:hAnsi="宋体" w:cs="宋体"/>
          <w:color w:val="3E3E3E"/>
          <w:kern w:val="0"/>
          <w:sz w:val="32"/>
          <w:szCs w:val="32"/>
        </w:rPr>
        <w:t>科目分类：基本支出</w:t>
      </w:r>
      <w:r>
        <w:rPr>
          <w:rFonts w:hint="eastAsia" w:ascii="宋体" w:hAnsi="宋体" w:cs="宋体"/>
          <w:color w:val="3E3E3E"/>
          <w:kern w:val="0"/>
          <w:sz w:val="32"/>
          <w:szCs w:val="32"/>
          <w:lang w:val="en-US" w:eastAsia="zh-CN"/>
        </w:rPr>
        <w:t>344.57</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8.74</w:t>
      </w:r>
      <w:r>
        <w:rPr>
          <w:rFonts w:hint="eastAsia" w:ascii="宋体" w:hAnsi="宋体" w:cs="宋体"/>
          <w:color w:val="3E3E3E"/>
          <w:kern w:val="0"/>
          <w:sz w:val="32"/>
          <w:szCs w:val="32"/>
        </w:rPr>
        <w:t>万元。</w:t>
      </w:r>
    </w:p>
    <w:p>
      <w:pPr>
        <w:spacing w:line="500" w:lineRule="exact"/>
        <w:ind w:firstLine="643" w:firstLineChars="200"/>
        <w:jc w:val="left"/>
        <w:rPr>
          <w:rFonts w:ascii="宋体" w:cs="Times New Roman"/>
          <w:sz w:val="32"/>
          <w:szCs w:val="32"/>
        </w:rPr>
      </w:pPr>
      <w:r>
        <w:rPr>
          <w:rFonts w:hint="eastAsia" w:ascii="宋体" w:hAnsi="宋体" w:cs="宋体"/>
          <w:b/>
          <w:bCs/>
          <w:sz w:val="32"/>
          <w:szCs w:val="32"/>
        </w:rPr>
        <w:t>九、机关运行经费支出情况</w:t>
      </w:r>
    </w:p>
    <w:p>
      <w:pPr>
        <w:spacing w:line="500" w:lineRule="exact"/>
        <w:ind w:firstLine="960" w:firstLineChars="300"/>
        <w:jc w:val="left"/>
        <w:rPr>
          <w:rFonts w:ascii="宋体" w:hAnsi="宋体" w:cs="宋体"/>
          <w:color w:val="3E3E3E"/>
          <w:kern w:val="0"/>
          <w:sz w:val="32"/>
          <w:szCs w:val="32"/>
        </w:rPr>
      </w:pP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年二道区委编办机关运行经费财政拨款支出</w:t>
      </w:r>
      <w:r>
        <w:rPr>
          <w:rFonts w:hint="eastAsia" w:ascii="宋体" w:hAnsi="宋体" w:cs="宋体"/>
          <w:color w:val="3E3E3E"/>
          <w:kern w:val="0"/>
          <w:sz w:val="32"/>
          <w:szCs w:val="32"/>
          <w:lang w:val="en-US" w:eastAsia="zh-CN"/>
        </w:rPr>
        <w:t>353.31</w:t>
      </w:r>
      <w:r>
        <w:rPr>
          <w:rFonts w:hint="eastAsia" w:ascii="宋体" w:hAnsi="宋体" w:cs="宋体"/>
          <w:color w:val="3E3E3E"/>
          <w:kern w:val="0"/>
          <w:sz w:val="32"/>
          <w:szCs w:val="32"/>
        </w:rPr>
        <w:t>万元。</w:t>
      </w:r>
    </w:p>
    <w:p>
      <w:pPr>
        <w:spacing w:line="500" w:lineRule="exact"/>
        <w:ind w:firstLine="643" w:firstLineChars="200"/>
        <w:jc w:val="left"/>
        <w:rPr>
          <w:rFonts w:ascii="宋体" w:cs="Times New Roman"/>
          <w:b/>
          <w:bCs/>
          <w:sz w:val="32"/>
          <w:szCs w:val="32"/>
        </w:rPr>
      </w:pPr>
      <w:r>
        <w:rPr>
          <w:rFonts w:hint="eastAsia" w:ascii="宋体" w:hAnsi="宋体" w:cs="宋体"/>
          <w:b/>
          <w:bCs/>
          <w:sz w:val="32"/>
          <w:szCs w:val="32"/>
        </w:rPr>
        <w:t>十、政府采购支出情况</w:t>
      </w:r>
    </w:p>
    <w:p>
      <w:pPr>
        <w:spacing w:line="500" w:lineRule="exact"/>
        <w:ind w:firstLine="960" w:firstLineChars="300"/>
        <w:jc w:val="left"/>
        <w:rPr>
          <w:rFonts w:ascii="宋体" w:hAnsi="宋体" w:cs="宋体"/>
          <w:sz w:val="32"/>
          <w:szCs w:val="32"/>
        </w:rPr>
      </w:pPr>
      <w:r>
        <w:rPr>
          <w:rFonts w:hint="eastAsia" w:ascii="宋体" w:hAnsi="宋体" w:cs="宋体"/>
          <w:sz w:val="32"/>
          <w:szCs w:val="32"/>
        </w:rPr>
        <w:t>无政府采购项目</w:t>
      </w:r>
    </w:p>
    <w:p>
      <w:pPr>
        <w:spacing w:line="500" w:lineRule="exact"/>
        <w:ind w:firstLine="643" w:firstLineChars="200"/>
        <w:jc w:val="left"/>
        <w:rPr>
          <w:rFonts w:ascii="宋体" w:cs="Times New Roman"/>
          <w:sz w:val="32"/>
          <w:szCs w:val="32"/>
        </w:rPr>
      </w:pPr>
      <w:r>
        <w:rPr>
          <w:rFonts w:hint="eastAsia" w:ascii="宋体" w:hAnsi="宋体" w:cs="宋体"/>
          <w:b/>
          <w:bCs/>
          <w:sz w:val="32"/>
          <w:szCs w:val="32"/>
        </w:rPr>
        <w:t>十一、国有资产占用情况</w:t>
      </w:r>
    </w:p>
    <w:p>
      <w:pPr>
        <w:spacing w:line="500" w:lineRule="exact"/>
        <w:ind w:firstLine="640" w:firstLineChars="200"/>
        <w:jc w:val="left"/>
        <w:rPr>
          <w:rFonts w:ascii="宋体" w:hAnsi="宋体" w:cs="宋体"/>
          <w:color w:val="3E3E3E"/>
          <w:kern w:val="0"/>
          <w:sz w:val="32"/>
          <w:szCs w:val="32"/>
        </w:rPr>
      </w:pP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年长春市二道区委编办，车辆数量为0。</w:t>
      </w:r>
    </w:p>
    <w:p>
      <w:pPr>
        <w:numPr>
          <w:ilvl w:val="0"/>
          <w:numId w:val="1"/>
        </w:numPr>
        <w:spacing w:line="500" w:lineRule="exact"/>
        <w:ind w:firstLine="803" w:firstLineChars="250"/>
        <w:jc w:val="left"/>
        <w:rPr>
          <w:rFonts w:ascii="宋体" w:hAnsi="宋体" w:cs="宋体"/>
          <w:b/>
          <w:bCs/>
          <w:sz w:val="32"/>
          <w:szCs w:val="32"/>
        </w:rPr>
      </w:pPr>
      <w:r>
        <w:rPr>
          <w:rFonts w:hint="eastAsia" w:ascii="宋体" w:hAnsi="宋体" w:cs="宋体"/>
          <w:b/>
          <w:bCs/>
          <w:sz w:val="32"/>
          <w:szCs w:val="32"/>
        </w:rPr>
        <w:t>预算绩效情况</w:t>
      </w:r>
    </w:p>
    <w:p>
      <w:pPr>
        <w:spacing w:line="500" w:lineRule="exact"/>
        <w:ind w:firstLine="640" w:firstLineChars="200"/>
        <w:jc w:val="left"/>
        <w:rPr>
          <w:rFonts w:ascii="宋体" w:cs="Times New Roman"/>
          <w:color w:val="3E3E3E"/>
          <w:kern w:val="0"/>
          <w:sz w:val="32"/>
          <w:szCs w:val="32"/>
        </w:rPr>
      </w:pPr>
      <w:r>
        <w:rPr>
          <w:rFonts w:hint="eastAsia" w:ascii="宋体" w:cs="Times New Roman"/>
          <w:color w:val="3E3E3E"/>
          <w:kern w:val="0"/>
          <w:sz w:val="32"/>
          <w:szCs w:val="32"/>
        </w:rPr>
        <w:t>无</w:t>
      </w: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numPr>
          <w:ilvl w:val="0"/>
          <w:numId w:val="2"/>
        </w:numPr>
        <w:autoSpaceDE w:val="0"/>
        <w:autoSpaceDN w:val="0"/>
        <w:adjustRightInd w:val="0"/>
        <w:rPr>
          <w:rFonts w:ascii="宋体" w:cs="Times New Roman"/>
          <w:kern w:val="0"/>
          <w:sz w:val="32"/>
          <w:szCs w:val="32"/>
        </w:rPr>
      </w:pPr>
      <w:r>
        <w:rPr>
          <w:rFonts w:hint="eastAsia" w:ascii="宋体" w:hAnsi="宋体" w:cs="宋体"/>
          <w:kern w:val="0"/>
          <w:sz w:val="32"/>
          <w:szCs w:val="32"/>
        </w:rPr>
        <w:t>财政拨款收入：指中央财政当年拨付的资金。</w:t>
      </w:r>
    </w:p>
    <w:p>
      <w:pPr>
        <w:numPr>
          <w:ilvl w:val="0"/>
          <w:numId w:val="2"/>
        </w:numPr>
        <w:autoSpaceDE w:val="0"/>
        <w:autoSpaceDN w:val="0"/>
        <w:adjustRightInd w:val="0"/>
        <w:rPr>
          <w:rFonts w:ascii="宋体" w:cs="Times New Roman"/>
          <w:kern w:val="0"/>
          <w:sz w:val="32"/>
          <w:szCs w:val="32"/>
        </w:rPr>
      </w:pPr>
      <w:r>
        <w:rPr>
          <w:rFonts w:hint="eastAsia" w:ascii="宋体" w:hAnsi="宋体" w:cs="宋体"/>
          <w:kern w:val="0"/>
          <w:sz w:val="32"/>
          <w:szCs w:val="32"/>
        </w:rPr>
        <w:t>事业收入：指事业单位开展专业业务活动及辅助活动所取得的收入。</w:t>
      </w:r>
    </w:p>
    <w:p>
      <w:pPr>
        <w:numPr>
          <w:ilvl w:val="0"/>
          <w:numId w:val="2"/>
        </w:numPr>
        <w:autoSpaceDE w:val="0"/>
        <w:autoSpaceDN w:val="0"/>
        <w:adjustRightInd w:val="0"/>
        <w:rPr>
          <w:rFonts w:ascii="宋体" w:cs="Times New Roman"/>
          <w:kern w:val="0"/>
          <w:sz w:val="32"/>
          <w:szCs w:val="32"/>
        </w:rPr>
      </w:pPr>
      <w:r>
        <w:rPr>
          <w:rFonts w:hint="eastAsia" w:ascii="宋体" w:hAnsi="宋体" w:cs="宋体"/>
          <w:kern w:val="0"/>
          <w:sz w:val="32"/>
          <w:szCs w:val="32"/>
        </w:rPr>
        <w:t>事业单位经营收入：指事业单位在专业业务活动及其辅助活动之外开展非独立核算经营活动取得的收入。</w:t>
      </w:r>
    </w:p>
    <w:p>
      <w:pPr>
        <w:numPr>
          <w:ilvl w:val="0"/>
          <w:numId w:val="2"/>
        </w:numPr>
        <w:autoSpaceDE w:val="0"/>
        <w:autoSpaceDN w:val="0"/>
        <w:adjustRightInd w:val="0"/>
        <w:rPr>
          <w:rFonts w:ascii="宋体" w:cs="Times New Roman"/>
          <w:kern w:val="0"/>
          <w:sz w:val="32"/>
          <w:szCs w:val="32"/>
        </w:rPr>
      </w:pPr>
      <w:r>
        <w:rPr>
          <w:rFonts w:hint="eastAsia" w:ascii="宋体" w:hAnsi="宋体" w:cs="宋体"/>
          <w:kern w:val="0"/>
          <w:sz w:val="32"/>
          <w:szCs w:val="32"/>
        </w:rPr>
        <w:t>其他收入：指除上述“财政拨款收入”、“事业收入”、“事业单位经营收入”等以外的收入。主要是按规定动用的售房收入、存款利息收入等。</w:t>
      </w:r>
    </w:p>
    <w:p>
      <w:pPr>
        <w:numPr>
          <w:ilvl w:val="0"/>
          <w:numId w:val="2"/>
        </w:numPr>
        <w:autoSpaceDE w:val="0"/>
        <w:autoSpaceDN w:val="0"/>
        <w:adjustRightInd w:val="0"/>
        <w:rPr>
          <w:rFonts w:ascii="宋体" w:cs="Times New Roman"/>
          <w:kern w:val="0"/>
          <w:sz w:val="32"/>
          <w:szCs w:val="32"/>
        </w:rPr>
      </w:pPr>
      <w:r>
        <w:rPr>
          <w:rFonts w:hint="eastAsia" w:ascii="宋体" w:hAnsi="宋体" w:cs="宋体"/>
          <w:kern w:val="0"/>
          <w:sz w:val="32"/>
          <w:szCs w:val="32"/>
        </w:rPr>
        <w:t>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autoSpaceDE w:val="0"/>
        <w:autoSpaceDN w:val="0"/>
        <w:adjustRightInd w:val="0"/>
        <w:rPr>
          <w:rFonts w:ascii="宋体" w:cs="Times New Roman"/>
          <w:kern w:val="0"/>
          <w:sz w:val="32"/>
          <w:szCs w:val="32"/>
        </w:rPr>
      </w:pPr>
      <w:r>
        <w:rPr>
          <w:rFonts w:hint="eastAsia" w:ascii="宋体" w:hAnsi="宋体" w:cs="宋体"/>
          <w:kern w:val="0"/>
          <w:sz w:val="32"/>
          <w:szCs w:val="32"/>
        </w:rPr>
        <w:t>上年结转：指以前年度尚未完成，结转到本年仍按原规定用途继续使用的资金（预算中为预计数）。</w:t>
      </w:r>
    </w:p>
    <w:p>
      <w:pPr>
        <w:numPr>
          <w:ilvl w:val="0"/>
          <w:numId w:val="2"/>
        </w:numPr>
        <w:autoSpaceDE w:val="0"/>
        <w:autoSpaceDN w:val="0"/>
        <w:adjustRightInd w:val="0"/>
        <w:rPr>
          <w:rFonts w:ascii="宋体" w:cs="Times New Roman"/>
          <w:kern w:val="0"/>
          <w:sz w:val="32"/>
          <w:szCs w:val="32"/>
        </w:rPr>
      </w:pPr>
      <w:r>
        <w:rPr>
          <w:rFonts w:hint="eastAsia" w:ascii="宋体" w:hAnsi="宋体" w:cs="宋体"/>
          <w:kern w:val="0"/>
          <w:sz w:val="32"/>
          <w:szCs w:val="32"/>
        </w:rPr>
        <w:t>结转下年：指以前年度预算安排、因客观条件发生变化无法按原计划实施，需延迟到以后年度按原规定用途继续使用的资金（预算中为预计数）。</w:t>
      </w:r>
    </w:p>
    <w:p>
      <w:pPr>
        <w:numPr>
          <w:ilvl w:val="0"/>
          <w:numId w:val="2"/>
        </w:numPr>
        <w:autoSpaceDE w:val="0"/>
        <w:autoSpaceDN w:val="0"/>
        <w:adjustRightInd w:val="0"/>
        <w:rPr>
          <w:rFonts w:ascii="宋体" w:cs="Times New Roman"/>
          <w:kern w:val="0"/>
          <w:sz w:val="32"/>
          <w:szCs w:val="32"/>
        </w:rPr>
      </w:pPr>
      <w:r>
        <w:rPr>
          <w:rFonts w:hint="eastAsia" w:ascii="宋体" w:hAnsi="宋体" w:cs="宋体"/>
          <w:kern w:val="0"/>
          <w:sz w:val="32"/>
          <w:szCs w:val="32"/>
        </w:rPr>
        <w:t>基本支出：指为保障机构正常运转、完成日常工作任务而发生的人员支出和公用支出。</w:t>
      </w:r>
    </w:p>
    <w:p>
      <w:pPr>
        <w:numPr>
          <w:ilvl w:val="0"/>
          <w:numId w:val="2"/>
        </w:numPr>
        <w:autoSpaceDE w:val="0"/>
        <w:autoSpaceDN w:val="0"/>
        <w:adjustRightInd w:val="0"/>
        <w:rPr>
          <w:rFonts w:ascii="宋体" w:cs="Times New Roman"/>
          <w:kern w:val="0"/>
          <w:sz w:val="32"/>
          <w:szCs w:val="32"/>
        </w:rPr>
      </w:pPr>
      <w:r>
        <w:rPr>
          <w:rFonts w:hint="eastAsia" w:ascii="宋体" w:hAnsi="宋体" w:cs="宋体"/>
          <w:kern w:val="0"/>
          <w:sz w:val="32"/>
          <w:szCs w:val="32"/>
        </w:rPr>
        <w:t>项目支出：指在基本支出之外为完成特定行政任务和事业发展目标所发生的支出。</w:t>
      </w:r>
    </w:p>
    <w:p>
      <w:pPr>
        <w:numPr>
          <w:ilvl w:val="0"/>
          <w:numId w:val="2"/>
        </w:numPr>
        <w:autoSpaceDE w:val="0"/>
        <w:autoSpaceDN w:val="0"/>
        <w:adjustRightInd w:val="0"/>
        <w:rPr>
          <w:rFonts w:ascii="宋体" w:cs="Times New Roman"/>
          <w:kern w:val="0"/>
          <w:sz w:val="32"/>
          <w:szCs w:val="32"/>
        </w:rPr>
      </w:pPr>
      <w:r>
        <w:rPr>
          <w:rFonts w:hint="eastAsia" w:ascii="宋体" w:hAnsi="宋体" w:cs="宋体"/>
          <w:kern w:val="0"/>
          <w:sz w:val="32"/>
          <w:szCs w:val="32"/>
        </w:rPr>
        <w:t>事业单位经营支出：指事业单位在专业业务活动及其辅助活动之外开展非独立核算经营活动发生的支出。</w:t>
      </w:r>
    </w:p>
    <w:p>
      <w:pPr>
        <w:numPr>
          <w:ilvl w:val="0"/>
          <w:numId w:val="2"/>
        </w:numPr>
        <w:autoSpaceDE w:val="0"/>
        <w:autoSpaceDN w:val="0"/>
        <w:adjustRightInd w:val="0"/>
        <w:rPr>
          <w:rFonts w:ascii="宋体" w:cs="Times New Roman"/>
          <w:kern w:val="0"/>
          <w:sz w:val="32"/>
          <w:szCs w:val="32"/>
        </w:rPr>
      </w:pPr>
      <w:r>
        <w:rPr>
          <w:rFonts w:hint="eastAsia" w:ascii="宋体" w:hAnsi="宋体" w:cs="宋体"/>
          <w:kern w:val="0"/>
          <w:sz w:val="32"/>
          <w:szCs w:val="32"/>
        </w:rPr>
        <w:t>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numPr>
          <w:ilvl w:val="0"/>
          <w:numId w:val="2"/>
        </w:numPr>
        <w:autoSpaceDE w:val="0"/>
        <w:autoSpaceDN w:val="0"/>
        <w:adjustRightInd w:val="0"/>
        <w:rPr>
          <w:rFonts w:ascii="宋体" w:cs="Times New Roman"/>
          <w:kern w:val="0"/>
          <w:sz w:val="32"/>
          <w:szCs w:val="32"/>
        </w:rPr>
      </w:pPr>
      <w:r>
        <w:rPr>
          <w:rFonts w:hint="eastAsia" w:ascii="宋体" w:hAnsi="宋体" w:cs="宋体"/>
          <w:kern w:val="0"/>
          <w:sz w:val="32"/>
          <w:szCs w:val="32"/>
        </w:rPr>
        <w:t>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numPr>
          <w:ilvl w:val="0"/>
          <w:numId w:val="2"/>
        </w:numPr>
        <w:autoSpaceDE w:val="0"/>
        <w:autoSpaceDN w:val="0"/>
        <w:adjustRightInd w:val="0"/>
        <w:rPr>
          <w:rFonts w:ascii="宋体" w:cs="Times New Roman"/>
          <w:kern w:val="0"/>
          <w:sz w:val="32"/>
          <w:szCs w:val="32"/>
        </w:rPr>
      </w:pPr>
      <w:r>
        <w:rPr>
          <w:rFonts w:hint="eastAsia" w:ascii="宋体" w:hAnsi="宋体" w:cs="宋体"/>
          <w:kern w:val="0"/>
          <w:sz w:val="32"/>
          <w:szCs w:val="32"/>
        </w:rPr>
        <w:t>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numPr>
          <w:ilvl w:val="0"/>
          <w:numId w:val="2"/>
        </w:numPr>
        <w:autoSpaceDE w:val="0"/>
        <w:autoSpaceDN w:val="0"/>
        <w:adjustRightInd w:val="0"/>
        <w:rPr>
          <w:rFonts w:ascii="宋体" w:cs="Times New Roman"/>
          <w:kern w:val="0"/>
          <w:sz w:val="32"/>
          <w:szCs w:val="32"/>
        </w:rPr>
      </w:pPr>
      <w:r>
        <w:rPr>
          <w:rFonts w:hint="eastAsia" w:ascii="宋体" w:hAnsi="宋体" w:cs="宋体"/>
          <w:kern w:val="0"/>
          <w:sz w:val="32"/>
          <w:szCs w:val="32"/>
        </w:rPr>
        <w:t>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autoSpaceDE w:val="0"/>
        <w:autoSpaceDN w:val="0"/>
        <w:adjustRightInd w:val="0"/>
        <w:rPr>
          <w:rFonts w:ascii="宋体" w:cs="Times New Roman"/>
          <w:kern w:val="0"/>
          <w:sz w:val="32"/>
          <w:szCs w:val="32"/>
        </w:rPr>
      </w:pPr>
      <w:r>
        <w:rPr>
          <w:rFonts w:hint="eastAsia" w:ascii="宋体" w:hAnsi="宋体" w:cs="宋体"/>
          <w:kern w:val="0"/>
          <w:sz w:val="32"/>
          <w:szCs w:val="32"/>
        </w:rPr>
        <w:t>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AEE0A"/>
    <w:multiLevelType w:val="singleLevel"/>
    <w:tmpl w:val="97AAEE0A"/>
    <w:lvl w:ilvl="0" w:tentative="0">
      <w:start w:val="1"/>
      <w:numFmt w:val="chineseCounting"/>
      <w:suff w:val="nothing"/>
      <w:lvlText w:val="%1、"/>
      <w:lvlJc w:val="left"/>
      <w:pPr>
        <w:ind w:left="0" w:firstLine="420"/>
      </w:pPr>
      <w:rPr>
        <w:rFonts w:hint="eastAsia"/>
      </w:rPr>
    </w:lvl>
  </w:abstractNum>
  <w:abstractNum w:abstractNumId="1">
    <w:nsid w:val="C221BD15"/>
    <w:multiLevelType w:val="singleLevel"/>
    <w:tmpl w:val="C221BD15"/>
    <w:lvl w:ilvl="0" w:tentative="0">
      <w:start w:val="1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MjI0MzJkYWY5NGVhNWUxZWVjZjRlNjk0MzkxZDk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3F5625"/>
    <w:rsid w:val="00415BBF"/>
    <w:rsid w:val="00437D6A"/>
    <w:rsid w:val="004415A0"/>
    <w:rsid w:val="0050084A"/>
    <w:rsid w:val="00520680"/>
    <w:rsid w:val="005211A3"/>
    <w:rsid w:val="005238B0"/>
    <w:rsid w:val="0057123B"/>
    <w:rsid w:val="005759CD"/>
    <w:rsid w:val="005C178A"/>
    <w:rsid w:val="00606EE4"/>
    <w:rsid w:val="00614FF8"/>
    <w:rsid w:val="00626C72"/>
    <w:rsid w:val="0066668B"/>
    <w:rsid w:val="006B7561"/>
    <w:rsid w:val="006E2BEF"/>
    <w:rsid w:val="00720D92"/>
    <w:rsid w:val="00732B62"/>
    <w:rsid w:val="00762C61"/>
    <w:rsid w:val="00767A9F"/>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73121"/>
    <w:rsid w:val="00B80A2E"/>
    <w:rsid w:val="00C30AE4"/>
    <w:rsid w:val="00CC5F4E"/>
    <w:rsid w:val="00D00E9D"/>
    <w:rsid w:val="00D4224E"/>
    <w:rsid w:val="00D5067E"/>
    <w:rsid w:val="00D56901"/>
    <w:rsid w:val="00DC4B07"/>
    <w:rsid w:val="00DF2DDB"/>
    <w:rsid w:val="00E63DCC"/>
    <w:rsid w:val="00EB0DF0"/>
    <w:rsid w:val="00ED2B29"/>
    <w:rsid w:val="00F331A5"/>
    <w:rsid w:val="00F46C87"/>
    <w:rsid w:val="00F94E66"/>
    <w:rsid w:val="0621779F"/>
    <w:rsid w:val="07C51765"/>
    <w:rsid w:val="0D803AF2"/>
    <w:rsid w:val="13652E4F"/>
    <w:rsid w:val="13ED13E4"/>
    <w:rsid w:val="18406C8F"/>
    <w:rsid w:val="191562AF"/>
    <w:rsid w:val="1D0A46B3"/>
    <w:rsid w:val="1F682125"/>
    <w:rsid w:val="21301DD5"/>
    <w:rsid w:val="22057A5E"/>
    <w:rsid w:val="254C2FF9"/>
    <w:rsid w:val="33A16F2C"/>
    <w:rsid w:val="371769C9"/>
    <w:rsid w:val="3E1A5671"/>
    <w:rsid w:val="3E895E6B"/>
    <w:rsid w:val="40D810E0"/>
    <w:rsid w:val="51444915"/>
    <w:rsid w:val="53C42C27"/>
    <w:rsid w:val="56A8574D"/>
    <w:rsid w:val="56C41E5B"/>
    <w:rsid w:val="5D8D1AF1"/>
    <w:rsid w:val="66840D2A"/>
    <w:rsid w:val="6B9F7B09"/>
    <w:rsid w:val="6F977CAE"/>
    <w:rsid w:val="70DB4042"/>
    <w:rsid w:val="79EF291C"/>
    <w:rsid w:val="7BB63D67"/>
    <w:rsid w:val="7C6D7006"/>
    <w:rsid w:val="7E4D055C"/>
    <w:rsid w:val="7EC73BBA"/>
    <w:rsid w:val="7ED928A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页眉 Char"/>
    <w:basedOn w:val="6"/>
    <w:link w:val="3"/>
    <w:semiHidden/>
    <w:qFormat/>
    <w:locked/>
    <w:uiPriority w:val="99"/>
    <w:rPr>
      <w:sz w:val="18"/>
      <w:szCs w:val="18"/>
    </w:rPr>
  </w:style>
  <w:style w:type="character" w:customStyle="1" w:styleId="8">
    <w:name w:val="页脚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3845</Words>
  <Characters>4102</Characters>
  <Lines>35</Lines>
  <Paragraphs>9</Paragraphs>
  <TotalTime>3</TotalTime>
  <ScaleCrop>false</ScaleCrop>
  <LinksUpToDate>false</LinksUpToDate>
  <CharactersWithSpaces>4155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2022-08-09T02:54:00Z</dcterms:created>
  <dc:creator>a</dc:creator>
  <cp:lastModifiedBy>原来结局总是空</cp:lastModifiedBy>
  <dcterms:modified xsi:type="dcterms:W3CDTF">2023-01-09T02:25:01Z</dcterms:modified>
  <dc:title>2017年长春市工业和信息化局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83DDB5A974664FCBB4FE5A646C726FAC_13</vt:lpwstr>
  </property>
</Properties>
</file>