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202</w:t>
      </w:r>
      <w:r>
        <w:rPr>
          <w:rFonts w:hint="eastAsia" w:ascii="Arial" w:hAnsi="Arial" w:eastAsia="方正小标宋简体" w:cs="Arial"/>
          <w:sz w:val="44"/>
          <w:szCs w:val="44"/>
          <w:lang w:val="en-US" w:eastAsia="zh-CN"/>
        </w:rPr>
        <w:t>3</w:t>
      </w:r>
      <w:r>
        <w:rPr>
          <w:rFonts w:hint="eastAsia" w:ascii="Arial" w:hAnsi="Arial" w:eastAsia="方正小标宋简体" w:cs="方正小标宋简体"/>
          <w:sz w:val="44"/>
          <w:szCs w:val="44"/>
        </w:rPr>
        <w:t>年中共长春市二道区委老干部局</w:t>
      </w: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hint="eastAsia"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Times New Roman"/>
          <w:sz w:val="44"/>
          <w:szCs w:val="44"/>
          <w:lang w:val="en-US" w:eastAsia="zh-CN"/>
        </w:rPr>
        <w:t xml:space="preserve"> </w:t>
      </w:r>
      <w:bookmarkStart w:id="0" w:name="_GoBack"/>
      <w:bookmarkEnd w:id="0"/>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w:t>
      </w:r>
      <w:r>
        <w:rPr>
          <w:rFonts w:hint="eastAsia" w:ascii="宋体" w:hAnsi="宋体" w:cs="宋体"/>
          <w:sz w:val="44"/>
          <w:szCs w:val="44"/>
          <w:lang w:val="en-US" w:eastAsia="zh-CN"/>
        </w:rPr>
        <w:t>3</w:t>
      </w:r>
      <w:r>
        <w:rPr>
          <w:rFonts w:hint="eastAsia" w:ascii="宋体" w:hAnsi="宋体" w:cs="宋体"/>
          <w:sz w:val="44"/>
          <w:szCs w:val="44"/>
        </w:rPr>
        <w:t>年度中共长春市二道区委老干部局</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line="560" w:lineRule="exact"/>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line="560" w:lineRule="exact"/>
        <w:ind w:firstLine="627" w:firstLineChars="196"/>
        <w:jc w:val="left"/>
        <w:rPr>
          <w:rFonts w:ascii="宋体" w:cs="Times New Roman"/>
          <w:bCs/>
          <w:color w:val="3E3E3E"/>
          <w:kern w:val="0"/>
          <w:sz w:val="32"/>
          <w:szCs w:val="32"/>
        </w:rPr>
      </w:pPr>
      <w:r>
        <w:rPr>
          <w:rFonts w:hint="eastAsia" w:ascii="宋体" w:hAnsi="宋体" w:cs="宋体"/>
          <w:bCs/>
          <w:color w:val="3E3E3E"/>
          <w:kern w:val="0"/>
          <w:sz w:val="32"/>
          <w:szCs w:val="32"/>
        </w:rPr>
        <w:t>（一）贯彻落实党中央、国务院、省、市关于老干部工作方针政策和省、市、区委有关老干部工作的各项决定和指示，研究拟定全区老干部工作的具体规定、制度和办法。</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（二）配合区委组织部规划指导离退休干部党支部建设。规划指导加强离退休干部思想政治建设。</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（三）检查、指导全区老干部工作，总结、推广经验，开展调研、宣传。向区委反映老干部工作的情况和问题，提出意见、建议。</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（四）指导、检查全区离休干部政治待遇和生活待遇的落实情况，协调解决实际困难。</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（五）指导全区离退休干部发挥作用工作，掌握、研究有关政策和问题，参与组织离退休干部发挥作用的重大活动。</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（六）负责离休干部提高待遇、易地安置、异地居住等事宜的相关工作。了解掌握易地安置、异地居住离休干部的情况，协调解决实际困难。</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（七）负责联系区老干部病房，配合有关部门监督、指导离休干部医疗定点医院医疗服务工作。协调、组织离休干部和一定层次退休干部健康休养、住院探望、丧事办理和年节期间的慰问、探望等有关工作。</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（八）检查、指导区老干部活动中心、区老年大学工作，组织指导重大活动的开展和服务。</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（九）宏观管理区直副区级以上退休干部。</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（十）承办离休干部护理费、困难补助的审批工作。</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（十一）检查、指导全区离退休干部公用经费、特需经费的提取、管理和使用工作。</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（十二）完成区委、区委组织部交办的其他任务。</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二、内设机构</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（一）办公室</w:t>
      </w:r>
    </w:p>
    <w:p>
      <w:pPr>
        <w:widowControl/>
        <w:spacing w:line="560" w:lineRule="exact"/>
        <w:ind w:firstLine="627" w:firstLineChars="196"/>
        <w:jc w:val="left"/>
        <w:rPr>
          <w:rFonts w:ascii="宋体" w:cs="宋体"/>
          <w:bCs/>
          <w:color w:val="3E3E3E"/>
          <w:kern w:val="0"/>
          <w:sz w:val="32"/>
          <w:szCs w:val="32"/>
        </w:rPr>
      </w:pPr>
      <w:r>
        <w:rPr>
          <w:rFonts w:hint="eastAsia" w:ascii="宋体" w:hAnsi="宋体" w:cs="宋体"/>
          <w:bCs/>
          <w:color w:val="3E3E3E"/>
          <w:kern w:val="0"/>
          <w:sz w:val="32"/>
          <w:szCs w:val="32"/>
        </w:rPr>
        <w:t>办公室（党建工作指导科）。负责机关日常运转工作；起草有关文件和重要会议领导讲话；负责文字综合、文书档案、会议会务、信息、信访、保密、财务等工作；组织协调调查研究和宣传教育活动；配合区委组织部做好全区离退休干部党支部建设和离退休干部思想政治建设工作；完成局领导交办的其他工作。</w:t>
      </w:r>
    </w:p>
    <w:p>
      <w:pPr>
        <w:widowControl/>
        <w:spacing w:line="560" w:lineRule="exact"/>
        <w:jc w:val="left"/>
        <w:rPr>
          <w:rFonts w:ascii="宋体" w:cs="宋体"/>
          <w:b/>
          <w:bCs/>
          <w:color w:val="3E3E3E"/>
          <w:kern w:val="0"/>
          <w:sz w:val="32"/>
          <w:szCs w:val="32"/>
        </w:rPr>
      </w:pPr>
      <w:r>
        <w:rPr>
          <w:rFonts w:hint="eastAsia" w:ascii="宋体" w:hAnsi="宋体" w:cs="宋体"/>
          <w:b/>
          <w:bCs/>
          <w:color w:val="3E3E3E"/>
          <w:kern w:val="0"/>
          <w:sz w:val="32"/>
          <w:szCs w:val="32"/>
        </w:rPr>
        <w:t>三、预算基本情况</w:t>
      </w:r>
    </w:p>
    <w:p>
      <w:pPr>
        <w:widowControl/>
        <w:spacing w:line="560" w:lineRule="exact"/>
        <w:ind w:firstLine="472" w:firstLineChars="147"/>
        <w:jc w:val="left"/>
        <w:rPr>
          <w:rFonts w:ascii="宋体" w:cs="Times New Roman"/>
          <w:b/>
          <w:bCs/>
          <w:color w:val="3E3E3E"/>
          <w:kern w:val="0"/>
          <w:sz w:val="32"/>
          <w:szCs w:val="32"/>
        </w:rPr>
      </w:pPr>
      <w:r>
        <w:rPr>
          <w:rFonts w:hint="eastAsia" w:ascii="宋体" w:cs="Times New Roman"/>
          <w:b/>
          <w:bCs/>
          <w:color w:val="3E3E3E"/>
          <w:kern w:val="0"/>
          <w:sz w:val="32"/>
          <w:szCs w:val="32"/>
        </w:rPr>
        <w:t>（</w:t>
      </w:r>
      <w:r>
        <w:rPr>
          <w:rFonts w:hint="eastAsia" w:ascii="宋体" w:hAnsi="宋体" w:cs="宋体"/>
          <w:b/>
          <w:bCs/>
          <w:color w:val="3E3E3E"/>
          <w:kern w:val="0"/>
          <w:sz w:val="32"/>
          <w:szCs w:val="32"/>
        </w:rPr>
        <w:t>一）部门预算单位构成</w:t>
      </w:r>
    </w:p>
    <w:p>
      <w:pPr>
        <w:widowControl/>
        <w:spacing w:line="560" w:lineRule="exact"/>
        <w:jc w:val="left"/>
        <w:rPr>
          <w:rFonts w:ascii="宋体" w:cs="Times New Roman"/>
          <w:color w:val="3E3E3E"/>
          <w:kern w:val="0"/>
          <w:sz w:val="32"/>
          <w:szCs w:val="32"/>
        </w:rPr>
      </w:pPr>
      <w:r>
        <w:rPr>
          <w:rFonts w:hint="eastAsia" w:ascii="宋体" w:hAnsi="宋体" w:cs="宋体"/>
          <w:color w:val="3E3E3E"/>
          <w:kern w:val="0"/>
          <w:sz w:val="32"/>
          <w:szCs w:val="32"/>
        </w:rPr>
        <w:t>　　长春市二道区委老干部局本级</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line="560" w:lineRule="exact"/>
        <w:ind w:firstLine="630" w:firstLineChars="196"/>
        <w:jc w:val="left"/>
        <w:rPr>
          <w:rFonts w:ascii="宋体" w:cs="Times New Roman"/>
          <w:b/>
          <w:bCs/>
          <w:color w:val="3E3E3E"/>
          <w:kern w:val="0"/>
          <w:sz w:val="32"/>
          <w:szCs w:val="32"/>
        </w:rPr>
      </w:pPr>
      <w:r>
        <w:rPr>
          <w:rFonts w:ascii="宋体" w:cs="Times New Roman"/>
          <w:b/>
          <w:bCs/>
          <w:color w:val="3E3E3E"/>
          <w:kern w:val="0"/>
          <w:sz w:val="32"/>
          <w:szCs w:val="32"/>
        </w:rPr>
        <w:t>(</w:t>
      </w:r>
      <w:r>
        <w:rPr>
          <w:rFonts w:hint="eastAsia" w:ascii="宋体" w:cs="Times New Roman"/>
          <w:b/>
          <w:bCs/>
          <w:color w:val="3E3E3E"/>
          <w:kern w:val="0"/>
          <w:sz w:val="32"/>
          <w:szCs w:val="32"/>
        </w:rPr>
        <w:t>二</w:t>
      </w:r>
      <w:r>
        <w:rPr>
          <w:rFonts w:ascii="宋体" w:cs="Times New Roman"/>
          <w:b/>
          <w:bCs/>
          <w:color w:val="3E3E3E"/>
          <w:kern w:val="0"/>
          <w:sz w:val="32"/>
          <w:szCs w:val="32"/>
        </w:rPr>
        <w:t>)</w:t>
      </w:r>
      <w:r>
        <w:rPr>
          <w:rFonts w:hint="eastAsia" w:ascii="宋体" w:cs="Times New Roman"/>
          <w:b/>
          <w:bCs/>
          <w:color w:val="3E3E3E"/>
          <w:kern w:val="0"/>
          <w:sz w:val="32"/>
          <w:szCs w:val="32"/>
        </w:rPr>
        <w:t>预算单位人员构成情况</w:t>
      </w:r>
    </w:p>
    <w:p>
      <w:pPr>
        <w:widowControl/>
        <w:spacing w:line="560" w:lineRule="exact"/>
        <w:jc w:val="left"/>
        <w:rPr>
          <w:rFonts w:ascii="黑体" w:hAnsi="黑体" w:eastAsia="黑体" w:cs="黑体"/>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bCs/>
          <w:color w:val="3E3E3E"/>
          <w:kern w:val="0"/>
          <w:sz w:val="32"/>
          <w:szCs w:val="32"/>
        </w:rPr>
        <w:t>中共长春市二道区委老干部局</w:t>
      </w:r>
      <w:r>
        <w:rPr>
          <w:rFonts w:hint="eastAsia" w:ascii="宋体" w:hAnsi="宋体" w:cs="宋体"/>
          <w:color w:val="3E3E3E"/>
          <w:kern w:val="0"/>
          <w:sz w:val="32"/>
          <w:szCs w:val="32"/>
        </w:rPr>
        <w:t>现有人员</w:t>
      </w:r>
      <w:r>
        <w:rPr>
          <w:rFonts w:ascii="宋体" w:hAnsi="宋体" w:cs="宋体"/>
          <w:color w:val="3E3E3E"/>
          <w:kern w:val="0"/>
          <w:sz w:val="32"/>
          <w:szCs w:val="32"/>
        </w:rPr>
        <w:t>17</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10</w:t>
      </w:r>
      <w:r>
        <w:rPr>
          <w:rFonts w:hint="eastAsia" w:ascii="宋体" w:hAnsi="宋体" w:cs="宋体"/>
          <w:color w:val="3E3E3E"/>
          <w:kern w:val="0"/>
          <w:sz w:val="32"/>
          <w:szCs w:val="32"/>
        </w:rPr>
        <w:t>人，离退休人员</w:t>
      </w:r>
      <w:r>
        <w:rPr>
          <w:rFonts w:hint="eastAsia" w:ascii="宋体" w:hAnsi="宋体" w:cs="宋体"/>
          <w:color w:val="3E3E3E"/>
          <w:kern w:val="0"/>
          <w:sz w:val="32"/>
          <w:szCs w:val="32"/>
          <w:lang w:val="en-US" w:eastAsia="zh-CN"/>
        </w:rPr>
        <w:t>7</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rPr>
          <w:rFonts w:hint="eastAsia" w:ascii="宋体" w:hAnsi="宋体" w:cs="宋体"/>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p>
    <w:p>
      <w:pPr>
        <w:rPr>
          <w:rFonts w:hint="eastAsia" w:ascii="宋体" w:hAnsi="宋体" w:cs="宋体"/>
          <w:color w:val="3E3E3E"/>
          <w:kern w:val="0"/>
          <w:sz w:val="32"/>
          <w:szCs w:val="32"/>
        </w:rPr>
      </w:pP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rPr>
          <w:rFonts w:hint="eastAsia" w:ascii="宋体" w:hAnsi="宋体" w:eastAsia="宋体" w:cs="宋体"/>
          <w:color w:val="3E3E3E"/>
          <w:kern w:val="0"/>
          <w:sz w:val="32"/>
          <w:szCs w:val="32"/>
          <w:lang w:eastAsia="zh-CN"/>
        </w:rPr>
      </w:pPr>
      <w:r>
        <w:rPr>
          <w:rFonts w:hint="eastAsia" w:ascii="宋体" w:hAnsi="宋体" w:eastAsia="宋体" w:cs="宋体"/>
          <w:color w:val="3E3E3E"/>
          <w:kern w:val="0"/>
          <w:sz w:val="32"/>
          <w:szCs w:val="32"/>
          <w:lang w:eastAsia="zh-CN"/>
        </w:rPr>
        <w:drawing>
          <wp:inline distT="0" distB="0" distL="114300" distR="114300">
            <wp:extent cx="5267325" cy="2033905"/>
            <wp:effectExtent l="0" t="0" r="9525" b="4445"/>
            <wp:docPr id="9" name="图片 9" descr="168791805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7918059145"/>
                    <pic:cNvPicPr>
                      <a:picLocks noChangeAspect="1"/>
                    </pic:cNvPicPr>
                  </pic:nvPicPr>
                  <pic:blipFill>
                    <a:blip r:embed="rId4"/>
                    <a:stretch>
                      <a:fillRect/>
                    </a:stretch>
                  </pic:blipFill>
                  <pic:spPr>
                    <a:xfrm>
                      <a:off x="0" y="0"/>
                      <a:ext cx="5267325" cy="2033905"/>
                    </a:xfrm>
                    <a:prstGeom prst="rect">
                      <a:avLst/>
                    </a:prstGeom>
                  </pic:spPr>
                </pic:pic>
              </a:graphicData>
            </a:graphic>
          </wp:inline>
        </w:drawing>
      </w:r>
    </w:p>
    <w:p/>
    <w:p/>
    <w:p>
      <w:pPr>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p>
      <w:pPr>
        <w:rPr>
          <w:rFonts w:hint="eastAsia" w:ascii="宋体" w:hAnsi="宋体" w:eastAsia="宋体" w:cs="宋体"/>
          <w:color w:val="3E3E3E"/>
          <w:kern w:val="0"/>
          <w:sz w:val="32"/>
          <w:szCs w:val="32"/>
          <w:lang w:eastAsia="zh-CN"/>
        </w:rPr>
      </w:pPr>
    </w:p>
    <w:p>
      <w:pPr>
        <w:rPr>
          <w:rFonts w:hint="eastAsia" w:ascii="宋体" w:hAnsi="宋体" w:eastAsia="宋体" w:cs="宋体"/>
          <w:color w:val="3E3E3E"/>
          <w:kern w:val="0"/>
          <w:sz w:val="32"/>
          <w:szCs w:val="32"/>
          <w:lang w:eastAsia="zh-CN"/>
        </w:rPr>
      </w:pPr>
      <w:r>
        <w:rPr>
          <w:rFonts w:hint="eastAsia" w:ascii="宋体" w:hAnsi="宋体" w:eastAsia="宋体" w:cs="宋体"/>
          <w:color w:val="3E3E3E"/>
          <w:kern w:val="0"/>
          <w:sz w:val="32"/>
          <w:szCs w:val="32"/>
          <w:lang w:eastAsia="zh-CN"/>
        </w:rPr>
        <w:drawing>
          <wp:inline distT="0" distB="0" distL="114300" distR="114300">
            <wp:extent cx="5267960" cy="2541905"/>
            <wp:effectExtent l="0" t="0" r="8890" b="10795"/>
            <wp:docPr id="11" name="图片 11" descr="168791823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87918232579"/>
                    <pic:cNvPicPr>
                      <a:picLocks noChangeAspect="1"/>
                    </pic:cNvPicPr>
                  </pic:nvPicPr>
                  <pic:blipFill>
                    <a:blip r:embed="rId5"/>
                    <a:stretch>
                      <a:fillRect/>
                    </a:stretch>
                  </pic:blipFill>
                  <pic:spPr>
                    <a:xfrm>
                      <a:off x="0" y="0"/>
                      <a:ext cx="5267960" cy="2541905"/>
                    </a:xfrm>
                    <a:prstGeom prst="rect">
                      <a:avLst/>
                    </a:prstGeom>
                  </pic:spPr>
                </pic:pic>
              </a:graphicData>
            </a:graphic>
          </wp:inline>
        </w:drawing>
      </w: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p>
      <w:pPr>
        <w:widowControl/>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5271770" cy="2925445"/>
            <wp:effectExtent l="0" t="0" r="5080" b="8255"/>
            <wp:docPr id="12" name="图片 12" descr="168791831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7918317361"/>
                    <pic:cNvPicPr>
                      <a:picLocks noChangeAspect="1"/>
                    </pic:cNvPicPr>
                  </pic:nvPicPr>
                  <pic:blipFill>
                    <a:blip r:embed="rId6"/>
                    <a:stretch>
                      <a:fillRect/>
                    </a:stretch>
                  </pic:blipFill>
                  <pic:spPr>
                    <a:xfrm>
                      <a:off x="0" y="0"/>
                      <a:ext cx="5271770" cy="2925445"/>
                    </a:xfrm>
                    <a:prstGeom prst="rect">
                      <a:avLst/>
                    </a:prstGeom>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p>
      <w:pPr>
        <w:widowControl/>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5271770" cy="4037965"/>
            <wp:effectExtent l="0" t="0" r="5080" b="635"/>
            <wp:docPr id="13" name="图片 13" descr="168791840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87918403547"/>
                    <pic:cNvPicPr>
                      <a:picLocks noChangeAspect="1"/>
                    </pic:cNvPicPr>
                  </pic:nvPicPr>
                  <pic:blipFill>
                    <a:blip r:embed="rId7"/>
                    <a:stretch>
                      <a:fillRect/>
                    </a:stretch>
                  </pic:blipFill>
                  <pic:spPr>
                    <a:xfrm>
                      <a:off x="0" y="0"/>
                      <a:ext cx="5271770" cy="4037965"/>
                    </a:xfrm>
                    <a:prstGeom prst="rect">
                      <a:avLst/>
                    </a:prstGeom>
                  </pic:spPr>
                </pic:pic>
              </a:graphicData>
            </a:graphic>
          </wp:inline>
        </w:drawing>
      </w:r>
    </w:p>
    <w:p>
      <w:pPr>
        <w:widowControl/>
        <w:spacing w:before="100" w:beforeAutospacing="1" w:after="100" w:afterAutospacing="1" w:line="360" w:lineRule="auto"/>
        <w:jc w:val="left"/>
        <w:rPr>
          <w:rFonts w:ascii="宋体" w:cs="Times New Roman"/>
          <w:color w:val="3E3E3E"/>
          <w:kern w:val="0"/>
          <w:sz w:val="32"/>
          <w:szCs w:val="32"/>
        </w:rPr>
      </w:pPr>
    </w:p>
    <w:p>
      <w:pPr>
        <w:rPr>
          <w:rFonts w:hint="eastAsia" w:ascii="宋体" w:hAnsi="宋体" w:cs="宋体"/>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rPr>
          <w:rFonts w:hint="eastAsia" w:ascii="宋体" w:hAnsi="宋体" w:eastAsia="宋体" w:cs="宋体"/>
          <w:color w:val="3E3E3E"/>
          <w:kern w:val="0"/>
          <w:sz w:val="32"/>
          <w:szCs w:val="32"/>
          <w:lang w:eastAsia="zh-CN"/>
        </w:rPr>
      </w:pPr>
      <w:r>
        <w:rPr>
          <w:rFonts w:hint="eastAsia" w:ascii="宋体" w:hAnsi="宋体" w:eastAsia="宋体" w:cs="宋体"/>
          <w:color w:val="3E3E3E"/>
          <w:kern w:val="0"/>
          <w:sz w:val="32"/>
          <w:szCs w:val="32"/>
          <w:lang w:eastAsia="zh-CN"/>
        </w:rPr>
        <w:drawing>
          <wp:inline distT="0" distB="0" distL="114300" distR="114300">
            <wp:extent cx="5271770" cy="2539365"/>
            <wp:effectExtent l="0" t="0" r="5080" b="13335"/>
            <wp:docPr id="14" name="图片 14" descr="1687918532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87918532694(1)"/>
                    <pic:cNvPicPr>
                      <a:picLocks noChangeAspect="1"/>
                    </pic:cNvPicPr>
                  </pic:nvPicPr>
                  <pic:blipFill>
                    <a:blip r:embed="rId8"/>
                    <a:stretch>
                      <a:fillRect/>
                    </a:stretch>
                  </pic:blipFill>
                  <pic:spPr>
                    <a:xfrm>
                      <a:off x="0" y="0"/>
                      <a:ext cx="5271770" cy="2539365"/>
                    </a:xfrm>
                    <a:prstGeom prst="rect">
                      <a:avLst/>
                    </a:prstGeom>
                  </pic:spPr>
                </pic:pic>
              </a:graphicData>
            </a:graphic>
          </wp:inline>
        </w:drawing>
      </w:r>
    </w:p>
    <w:p>
      <w:pPr>
        <w:widowControl/>
        <w:jc w:val="left"/>
        <w:rPr>
          <w:rFonts w:ascii="宋体" w:cs="宋体"/>
          <w:kern w:val="0"/>
          <w:sz w:val="24"/>
          <w:szCs w:val="24"/>
        </w:rPr>
      </w:pPr>
    </w:p>
    <w:p>
      <w:pPr>
        <w:rPr>
          <w:rFonts w:ascii="宋体" w:cs="宋体"/>
          <w:kern w:val="0"/>
          <w:sz w:val="24"/>
          <w:szCs w:val="24"/>
        </w:rPr>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hint="eastAsia" w:ascii="宋体" w:hAnsi="宋体" w:eastAsia="宋体" w:cs="宋体"/>
          <w:color w:val="3E3E3E"/>
          <w:kern w:val="0"/>
          <w:sz w:val="32"/>
          <w:szCs w:val="32"/>
          <w:lang w:eastAsia="zh-CN"/>
        </w:rPr>
      </w:pPr>
      <w:r>
        <w:rPr>
          <w:rFonts w:hint="eastAsia" w:ascii="宋体" w:hAnsi="宋体" w:eastAsia="宋体" w:cs="宋体"/>
          <w:color w:val="3E3E3E"/>
          <w:kern w:val="0"/>
          <w:sz w:val="32"/>
          <w:szCs w:val="32"/>
          <w:lang w:eastAsia="zh-CN"/>
        </w:rPr>
        <w:drawing>
          <wp:inline distT="0" distB="0" distL="114300" distR="114300">
            <wp:extent cx="5270500" cy="3309620"/>
            <wp:effectExtent l="0" t="0" r="6350" b="5080"/>
            <wp:docPr id="15" name="图片 15" descr="168791859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7918597592"/>
                    <pic:cNvPicPr>
                      <a:picLocks noChangeAspect="1"/>
                    </pic:cNvPicPr>
                  </pic:nvPicPr>
                  <pic:blipFill>
                    <a:blip r:embed="rId9"/>
                    <a:stretch>
                      <a:fillRect/>
                    </a:stretch>
                  </pic:blipFill>
                  <pic:spPr>
                    <a:xfrm>
                      <a:off x="0" y="0"/>
                      <a:ext cx="5270500" cy="3309620"/>
                    </a:xfrm>
                    <a:prstGeom prst="rect">
                      <a:avLst/>
                    </a:prstGeom>
                  </pic:spPr>
                </pic:pic>
              </a:graphicData>
            </a:graphic>
          </wp:inline>
        </w:drawing>
      </w:r>
    </w:p>
    <w:p>
      <w:pPr>
        <w:widowControl/>
        <w:jc w:val="left"/>
        <w:rPr>
          <w:rFonts w:ascii="宋体" w:cs="宋体"/>
          <w:kern w:val="0"/>
          <w:sz w:val="24"/>
          <w:szCs w:val="24"/>
        </w:rPr>
      </w:pPr>
    </w:p>
    <w:p>
      <w:pPr>
        <w:widowControl/>
        <w:spacing w:before="100" w:beforeAutospacing="1" w:after="100" w:afterAutospacing="1" w:line="360" w:lineRule="auto"/>
        <w:ind w:firstLine="630"/>
        <w:jc w:val="left"/>
        <w:rPr>
          <w:rFonts w:ascii="宋体" w:cs="Times New Roman"/>
          <w:color w:val="3E3E3E"/>
          <w:kern w:val="0"/>
          <w:sz w:val="32"/>
          <w:szCs w:val="32"/>
        </w:rPr>
      </w:pPr>
    </w:p>
    <w:p>
      <w:pPr>
        <w:widowControl/>
        <w:spacing w:before="100" w:beforeAutospacing="1" w:after="100" w:afterAutospacing="1" w:line="360" w:lineRule="auto"/>
        <w:jc w:val="left"/>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p>
      <w:pPr>
        <w:widowControl/>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5269230" cy="2113280"/>
            <wp:effectExtent l="0" t="0" r="7620" b="1270"/>
            <wp:docPr id="16" name="图片 16" descr="168791864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87918645381"/>
                    <pic:cNvPicPr>
                      <a:picLocks noChangeAspect="1"/>
                    </pic:cNvPicPr>
                  </pic:nvPicPr>
                  <pic:blipFill>
                    <a:blip r:embed="rId10"/>
                    <a:stretch>
                      <a:fillRect/>
                    </a:stretch>
                  </pic:blipFill>
                  <pic:spPr>
                    <a:xfrm>
                      <a:off x="0" y="0"/>
                      <a:ext cx="5269230" cy="2113280"/>
                    </a:xfrm>
                    <a:prstGeom prst="rect">
                      <a:avLst/>
                    </a:prstGeom>
                  </pic:spPr>
                </pic:pic>
              </a:graphicData>
            </a:graphic>
          </wp:inline>
        </w:drawing>
      </w:r>
    </w:p>
    <w:p>
      <w:pPr>
        <w:widowControl/>
        <w:jc w:val="left"/>
        <w:rPr>
          <w:rFonts w:ascii="宋体" w:cs="宋体"/>
          <w:kern w:val="0"/>
          <w:sz w:val="24"/>
          <w:szCs w:val="24"/>
        </w:rPr>
      </w:pPr>
    </w:p>
    <w:p>
      <w:pPr>
        <w:spacing w:line="360" w:lineRule="auto"/>
        <w:jc w:val="left"/>
      </w:pPr>
    </w:p>
    <w:p>
      <w:pPr>
        <w:spacing w:line="360" w:lineRule="auto"/>
        <w:jc w:val="left"/>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p>
      <w:pPr>
        <w:widowControl/>
        <w:jc w:val="left"/>
        <w:rPr>
          <w:rFonts w:hint="eastAsia" w:ascii="宋体" w:eastAsia="宋体" w:cs="宋体"/>
          <w:kern w:val="0"/>
          <w:sz w:val="24"/>
          <w:szCs w:val="24"/>
          <w:lang w:eastAsia="zh-CN"/>
        </w:rPr>
      </w:pPr>
      <w:r>
        <w:rPr>
          <w:rFonts w:hint="eastAsia" w:ascii="宋体" w:eastAsia="宋体" w:cs="宋体"/>
          <w:kern w:val="0"/>
          <w:sz w:val="24"/>
          <w:szCs w:val="24"/>
          <w:lang w:eastAsia="zh-CN"/>
        </w:rPr>
        <w:drawing>
          <wp:inline distT="0" distB="0" distL="114300" distR="114300">
            <wp:extent cx="5270500" cy="3577590"/>
            <wp:effectExtent l="0" t="0" r="6350" b="3810"/>
            <wp:docPr id="17" name="图片 17" descr="16879187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7918727159"/>
                    <pic:cNvPicPr>
                      <a:picLocks noChangeAspect="1"/>
                    </pic:cNvPicPr>
                  </pic:nvPicPr>
                  <pic:blipFill>
                    <a:blip r:embed="rId11"/>
                    <a:stretch>
                      <a:fillRect/>
                    </a:stretch>
                  </pic:blipFill>
                  <pic:spPr>
                    <a:xfrm>
                      <a:off x="0" y="0"/>
                      <a:ext cx="5270500" cy="3577590"/>
                    </a:xfrm>
                    <a:prstGeom prst="rect">
                      <a:avLst/>
                    </a:prstGeom>
                  </pic:spPr>
                </pic:pic>
              </a:graphicData>
            </a:graphic>
          </wp:inline>
        </w:drawing>
      </w: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268.37</w:t>
      </w:r>
      <w:r>
        <w:rPr>
          <w:rFonts w:hint="eastAsia" w:ascii="宋体" w:hAnsi="宋体" w:cs="宋体"/>
          <w:color w:val="3E3E3E"/>
          <w:kern w:val="0"/>
          <w:sz w:val="32"/>
          <w:szCs w:val="32"/>
        </w:rPr>
        <w:t>万元</w:t>
      </w:r>
      <w:r>
        <w:rPr>
          <w:rFonts w:ascii="宋体" w:cs="宋体"/>
          <w:color w:val="3E3E3E"/>
          <w:kern w:val="0"/>
          <w:sz w:val="32"/>
          <w:szCs w:val="32"/>
        </w:rPr>
        <w:t>, ,</w:t>
      </w:r>
      <w:r>
        <w:rPr>
          <w:rFonts w:hint="eastAsia" w:ascii="宋体" w:hAnsi="宋体" w:cs="宋体"/>
          <w:color w:val="3E3E3E"/>
          <w:kern w:val="0"/>
          <w:sz w:val="32"/>
          <w:szCs w:val="32"/>
        </w:rPr>
        <w:t>收入合计</w:t>
      </w:r>
      <w:r>
        <w:rPr>
          <w:rFonts w:hint="eastAsia" w:ascii="宋体" w:hAnsi="宋体" w:cs="宋体"/>
          <w:color w:val="3E3E3E"/>
          <w:kern w:val="0"/>
          <w:sz w:val="32"/>
          <w:szCs w:val="32"/>
          <w:lang w:val="en-US" w:eastAsia="zh-CN"/>
        </w:rPr>
        <w:t>268.37</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　　</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268.37</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203.06</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65.31</w:t>
      </w:r>
      <w:r>
        <w:rPr>
          <w:rFonts w:hint="eastAsia" w:ascii="宋体" w:hAnsi="宋体" w:cs="宋体"/>
          <w:color w:val="3E3E3E"/>
          <w:kern w:val="0"/>
          <w:sz w:val="32"/>
          <w:szCs w:val="32"/>
        </w:rPr>
        <w:t>万元。　</w:t>
      </w:r>
    </w:p>
    <w:p>
      <w:pPr>
        <w:widowControl/>
        <w:spacing w:before="100" w:beforeAutospacing="1" w:after="100" w:afterAutospacing="1" w:line="360" w:lineRule="auto"/>
        <w:ind w:firstLine="643" w:firstLineChars="200"/>
        <w:jc w:val="left"/>
        <w:rPr>
          <w:rFonts w:ascii="宋体" w:cs="宋体"/>
          <w:b/>
          <w:bCs/>
          <w:color w:val="3E3E3E"/>
          <w:kern w:val="0"/>
          <w:sz w:val="32"/>
          <w:szCs w:val="32"/>
        </w:rPr>
      </w:pPr>
      <w:r>
        <w:rPr>
          <w:rFonts w:hint="eastAsia" w:ascii="宋体" w:hAnsi="宋体" w:cs="宋体"/>
          <w:b/>
          <w:bCs/>
          <w:color w:val="3E3E3E"/>
          <w:kern w:val="0"/>
          <w:sz w:val="32"/>
          <w:szCs w:val="32"/>
        </w:rPr>
        <w:t>二、一般公共预算支出表说明</w:t>
      </w:r>
    </w:p>
    <w:p>
      <w:pPr>
        <w:widowControl/>
        <w:spacing w:line="360" w:lineRule="auto"/>
        <w:ind w:firstLine="640" w:firstLineChars="200"/>
        <w:jc w:val="left"/>
        <w:rPr>
          <w:rFonts w:ascii="宋体" w:cs="宋体"/>
          <w:sz w:val="32"/>
          <w:szCs w:val="32"/>
        </w:rPr>
      </w:pPr>
      <w:r>
        <w:rPr>
          <w:rFonts w:hint="eastAsia" w:ascii="宋体" w:hAnsi="宋体" w:cs="宋体"/>
          <w:sz w:val="32"/>
          <w:szCs w:val="32"/>
        </w:rPr>
        <w:t>一般公共服务支出</w:t>
      </w:r>
      <w:r>
        <w:rPr>
          <w:rFonts w:hint="eastAsia" w:ascii="宋体" w:hAnsi="宋体" w:cs="宋体"/>
          <w:sz w:val="32"/>
          <w:szCs w:val="32"/>
          <w:lang w:val="en-US" w:eastAsia="zh-CN"/>
        </w:rPr>
        <w:t>268.37</w:t>
      </w:r>
      <w:r>
        <w:rPr>
          <w:rFonts w:hint="eastAsia" w:ascii="宋体" w:hAnsi="宋体" w:cs="宋体"/>
          <w:sz w:val="32"/>
          <w:szCs w:val="32"/>
        </w:rPr>
        <w:t>万元。</w:t>
      </w:r>
    </w:p>
    <w:p>
      <w:pPr>
        <w:widowControl/>
        <w:spacing w:before="100" w:beforeAutospacing="1" w:after="100" w:afterAutospacing="1" w:line="360" w:lineRule="auto"/>
        <w:ind w:firstLine="643" w:firstLineChars="200"/>
        <w:jc w:val="left"/>
        <w:rPr>
          <w:rFonts w:hint="eastAsia" w:ascii="宋体" w:hAnsi="宋体" w:cs="宋体"/>
          <w:b/>
          <w:bCs/>
          <w:color w:val="3E3E3E"/>
          <w:kern w:val="0"/>
          <w:sz w:val="32"/>
          <w:szCs w:val="32"/>
        </w:rPr>
      </w:pPr>
      <w:r>
        <w:rPr>
          <w:rFonts w:hint="eastAsia" w:ascii="宋体" w:hAnsi="宋体" w:cs="宋体"/>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hint="eastAsia" w:ascii="宋体" w:eastAsia="宋体" w:cs="Times New Roman"/>
          <w:color w:val="3E3E3E"/>
          <w:kern w:val="0"/>
          <w:sz w:val="32"/>
          <w:szCs w:val="32"/>
          <w:lang w:eastAsia="zh-CN"/>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192.01</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hint="eastAsia" w:ascii="宋体" w:eastAsia="宋体" w:cs="Times New Roman"/>
          <w:color w:val="3E3E3E"/>
          <w:kern w:val="0"/>
          <w:sz w:val="32"/>
          <w:szCs w:val="32"/>
          <w:lang w:eastAsia="zh-CN"/>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11.05</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203.06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ind w:firstLine="630"/>
        <w:jc w:val="left"/>
        <w:rPr>
          <w:rFonts w:hint="eastAsia" w:ascii="宋体" w:hAnsi="宋体" w:cs="宋体"/>
          <w:color w:val="3E3E3E"/>
          <w:kern w:val="0"/>
          <w:sz w:val="32"/>
          <w:szCs w:val="32"/>
        </w:rPr>
      </w:pP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hAnsi="宋体" w:cs="宋体"/>
          <w:color w:val="3E3E3E"/>
          <w:kern w:val="0"/>
          <w:sz w:val="32"/>
          <w:szCs w:val="32"/>
        </w:rPr>
        <w:t>2.63</w:t>
      </w:r>
      <w:r>
        <w:rPr>
          <w:rFonts w:hint="eastAsia" w:ascii="宋体" w:hAnsi="宋体" w:cs="宋体"/>
          <w:color w:val="3E3E3E"/>
          <w:kern w:val="0"/>
          <w:sz w:val="32"/>
          <w:szCs w:val="32"/>
        </w:rPr>
        <w:t>万元。</w:t>
      </w:r>
    </w:p>
    <w:p>
      <w:pPr>
        <w:widowControl/>
        <w:spacing w:before="100" w:beforeAutospacing="1" w:after="100" w:afterAutospacing="1" w:line="360" w:lineRule="auto"/>
        <w:ind w:firstLine="630"/>
        <w:jc w:val="left"/>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无</w:t>
      </w:r>
    </w:p>
    <w:p>
      <w:pPr>
        <w:autoSpaceDE w:val="0"/>
        <w:autoSpaceDN w:val="0"/>
        <w:adjustRightInd w:val="0"/>
        <w:ind w:firstLine="643" w:firstLineChars="200"/>
        <w:rPr>
          <w:rFonts w:hint="eastAsia" w:ascii="宋体" w:hAnsi="宋体" w:cs="宋体"/>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sz w:val="32"/>
          <w:szCs w:val="32"/>
        </w:rPr>
        <w:t>老干部局</w:t>
      </w: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总收入</w:t>
      </w:r>
      <w:r>
        <w:rPr>
          <w:rFonts w:hint="eastAsia" w:ascii="宋体" w:hAnsi="宋体" w:cs="宋体"/>
          <w:sz w:val="32"/>
          <w:szCs w:val="32"/>
          <w:lang w:val="en-US" w:eastAsia="zh-CN"/>
        </w:rPr>
        <w:t>268.37</w:t>
      </w:r>
      <w:r>
        <w:rPr>
          <w:rFonts w:hint="eastAsia" w:ascii="宋体" w:hAnsi="宋体" w:cs="宋体"/>
          <w:sz w:val="32"/>
          <w:szCs w:val="32"/>
        </w:rPr>
        <w:t>万元，其中财政拨款</w:t>
      </w:r>
      <w:r>
        <w:rPr>
          <w:rFonts w:hint="eastAsia" w:ascii="宋体" w:hAnsi="宋体" w:cs="宋体"/>
          <w:sz w:val="32"/>
          <w:szCs w:val="32"/>
          <w:lang w:val="en-US" w:eastAsia="zh-CN"/>
        </w:rPr>
        <w:t>268.37</w:t>
      </w:r>
      <w:r>
        <w:rPr>
          <w:rFonts w:hint="eastAsia" w:ascii="宋体" w:hAnsi="宋体" w:cs="宋体"/>
          <w:sz w:val="32"/>
          <w:szCs w:val="32"/>
        </w:rPr>
        <w:t>万元。一般公共服务支出</w:t>
      </w:r>
      <w:r>
        <w:rPr>
          <w:rFonts w:hint="eastAsia" w:ascii="宋体" w:hAnsi="宋体" w:cs="宋体"/>
          <w:sz w:val="32"/>
          <w:szCs w:val="32"/>
          <w:lang w:val="en-US" w:eastAsia="zh-CN"/>
        </w:rPr>
        <w:t>268.37</w:t>
      </w:r>
      <w:r>
        <w:rPr>
          <w:rFonts w:hint="eastAsia" w:ascii="宋体" w:hAnsi="宋体" w:cs="宋体"/>
          <w:sz w:val="32"/>
          <w:szCs w:val="32"/>
        </w:rPr>
        <w:t>万元</w:t>
      </w:r>
      <w:r>
        <w:rPr>
          <w:rFonts w:hint="eastAsia" w:ascii="宋体" w:hAnsi="宋体" w:cs="宋体"/>
          <w:color w:val="3E3E3E"/>
          <w:kern w:val="0"/>
          <w:sz w:val="32"/>
          <w:szCs w:val="32"/>
        </w:rPr>
        <w:t>。</w:t>
      </w:r>
    </w:p>
    <w:p>
      <w:pPr>
        <w:autoSpaceDE w:val="0"/>
        <w:autoSpaceDN w:val="0"/>
        <w:adjustRightInd w:val="0"/>
        <w:ind w:firstLine="643" w:firstLineChars="200"/>
        <w:rPr>
          <w:rFonts w:hint="eastAsia" w:ascii="宋体" w:hAnsi="宋体" w:cs="宋体"/>
          <w:b/>
          <w:bCs/>
          <w:color w:val="3E3E3E"/>
          <w:kern w:val="0"/>
          <w:sz w:val="32"/>
          <w:szCs w:val="32"/>
        </w:rPr>
      </w:pPr>
      <w:r>
        <w:rPr>
          <w:rFonts w:hint="eastAsia" w:ascii="宋体" w:hAnsi="宋体" w:cs="宋体"/>
          <w:b/>
          <w:bCs/>
          <w:color w:val="3E3E3E"/>
          <w:kern w:val="0"/>
          <w:sz w:val="32"/>
          <w:szCs w:val="32"/>
        </w:rPr>
        <w:t>七、部门收入总表情况.</w:t>
      </w:r>
    </w:p>
    <w:p>
      <w:pPr>
        <w:spacing w:line="500" w:lineRule="exact"/>
        <w:ind w:firstLine="640" w:firstLineChars="200"/>
        <w:rPr>
          <w:rFonts w:ascii="宋体" w:cs="宋体"/>
          <w:sz w:val="32"/>
          <w:szCs w:val="32"/>
        </w:rPr>
      </w:pPr>
      <w:r>
        <w:rPr>
          <w:rFonts w:hint="eastAsia" w:ascii="宋体" w:hAnsi="宋体" w:cs="宋体"/>
          <w:sz w:val="32"/>
          <w:szCs w:val="32"/>
        </w:rPr>
        <w:t>老干部局</w:t>
      </w: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总收入</w:t>
      </w:r>
      <w:r>
        <w:rPr>
          <w:rFonts w:hint="eastAsia" w:ascii="宋体" w:hAnsi="宋体" w:cs="宋体"/>
          <w:sz w:val="32"/>
          <w:szCs w:val="32"/>
          <w:lang w:val="en-US" w:eastAsia="zh-CN"/>
        </w:rPr>
        <w:t>268.37</w:t>
      </w:r>
      <w:r>
        <w:rPr>
          <w:rFonts w:hint="eastAsia" w:ascii="宋体" w:hAnsi="宋体" w:cs="宋体"/>
          <w:sz w:val="32"/>
          <w:szCs w:val="32"/>
        </w:rPr>
        <w:t>万元，其中财政拨款</w:t>
      </w:r>
      <w:r>
        <w:rPr>
          <w:rFonts w:hint="eastAsia" w:ascii="宋体" w:hAnsi="宋体" w:cs="宋体"/>
          <w:sz w:val="32"/>
          <w:szCs w:val="32"/>
          <w:lang w:val="en-US" w:eastAsia="zh-CN"/>
        </w:rPr>
        <w:t>268.37</w:t>
      </w:r>
      <w:r>
        <w:rPr>
          <w:rFonts w:hint="eastAsia" w:ascii="宋体" w:hAnsi="宋体" w:cs="宋体"/>
          <w:sz w:val="32"/>
          <w:szCs w:val="32"/>
        </w:rPr>
        <w:t>万元。</w:t>
      </w:r>
    </w:p>
    <w:p>
      <w:pPr>
        <w:autoSpaceDE w:val="0"/>
        <w:autoSpaceDN w:val="0"/>
        <w:adjustRightInd w:val="0"/>
        <w:ind w:firstLine="643" w:firstLineChars="200"/>
        <w:rPr>
          <w:rFonts w:hint="default" w:ascii="宋体" w:hAnsi="宋体" w:cs="宋体"/>
          <w:b/>
          <w:bCs/>
          <w:color w:val="3E3E3E"/>
          <w:kern w:val="0"/>
          <w:sz w:val="32"/>
          <w:szCs w:val="32"/>
          <w:lang w:val="en-US" w:eastAsia="zh-CN"/>
        </w:rPr>
      </w:pPr>
      <w:r>
        <w:rPr>
          <w:rFonts w:hint="eastAsia" w:ascii="宋体" w:hAnsi="宋体" w:cs="宋体"/>
          <w:b/>
          <w:bCs/>
          <w:color w:val="3E3E3E"/>
          <w:kern w:val="0"/>
          <w:sz w:val="32"/>
          <w:szCs w:val="32"/>
        </w:rPr>
        <w:t>八、部门支出总表情况</w:t>
      </w:r>
      <w:r>
        <w:rPr>
          <w:rFonts w:hint="eastAsia" w:ascii="宋体" w:hAnsi="宋体" w:cs="宋体"/>
          <w:b/>
          <w:bCs/>
          <w:color w:val="3E3E3E"/>
          <w:kern w:val="0"/>
          <w:sz w:val="32"/>
          <w:szCs w:val="32"/>
          <w:lang w:val="en-US" w:eastAsia="zh-CN"/>
        </w:rPr>
        <w:t xml:space="preserve">  </w:t>
      </w:r>
    </w:p>
    <w:p>
      <w:pPr>
        <w:spacing w:line="500" w:lineRule="exact"/>
        <w:ind w:firstLine="640" w:firstLineChars="200"/>
        <w:rPr>
          <w:rFonts w:ascii="宋体" w:cs="宋体"/>
          <w:sz w:val="32"/>
          <w:szCs w:val="32"/>
        </w:rPr>
      </w:pPr>
      <w:r>
        <w:rPr>
          <w:rFonts w:hint="eastAsia" w:ascii="宋体" w:hAnsi="宋体" w:cs="宋体"/>
          <w:sz w:val="32"/>
          <w:szCs w:val="32"/>
        </w:rPr>
        <w:t>按功能分类：一般公共服务支出</w:t>
      </w:r>
      <w:r>
        <w:rPr>
          <w:rFonts w:hint="eastAsia" w:ascii="宋体" w:hAnsi="宋体" w:cs="宋体"/>
          <w:sz w:val="32"/>
          <w:szCs w:val="32"/>
          <w:lang w:val="en-US" w:eastAsia="zh-CN"/>
        </w:rPr>
        <w:t>268.37</w:t>
      </w:r>
      <w:r>
        <w:rPr>
          <w:rFonts w:hint="eastAsia" w:ascii="宋体" w:hAnsi="宋体" w:cs="宋体"/>
          <w:sz w:val="32"/>
          <w:szCs w:val="32"/>
        </w:rPr>
        <w:t>万元。</w:t>
      </w:r>
    </w:p>
    <w:p>
      <w:pPr>
        <w:spacing w:line="500" w:lineRule="exact"/>
        <w:ind w:firstLine="640" w:firstLineChars="200"/>
        <w:rPr>
          <w:rFonts w:ascii="宋体" w:cs="宋体"/>
          <w:sz w:val="32"/>
          <w:szCs w:val="32"/>
        </w:rPr>
      </w:pPr>
      <w:r>
        <w:rPr>
          <w:rFonts w:hint="eastAsia" w:ascii="宋体" w:hAnsi="宋体" w:cs="宋体"/>
          <w:sz w:val="32"/>
          <w:szCs w:val="32"/>
        </w:rPr>
        <w:t>科目分类：基本支出</w:t>
      </w:r>
      <w:r>
        <w:rPr>
          <w:rFonts w:hint="eastAsia" w:ascii="宋体" w:hAnsi="宋体" w:cs="宋体"/>
          <w:sz w:val="32"/>
          <w:szCs w:val="32"/>
          <w:lang w:val="en-US" w:eastAsia="zh-CN"/>
        </w:rPr>
        <w:t>203.06</w:t>
      </w:r>
      <w:r>
        <w:rPr>
          <w:rFonts w:hint="eastAsia" w:ascii="宋体" w:hAnsi="宋体" w:cs="宋体"/>
          <w:sz w:val="32"/>
          <w:szCs w:val="32"/>
        </w:rPr>
        <w:t>万元，项目支出</w:t>
      </w:r>
      <w:r>
        <w:rPr>
          <w:rFonts w:hint="eastAsia" w:ascii="宋体" w:hAnsi="宋体" w:cs="宋体"/>
          <w:sz w:val="32"/>
          <w:szCs w:val="32"/>
          <w:lang w:val="en-US" w:eastAsia="zh-CN"/>
        </w:rPr>
        <w:t>65.31</w:t>
      </w:r>
      <w:r>
        <w:rPr>
          <w:rFonts w:hint="eastAsia" w:ascii="宋体" w:hAnsi="宋体" w:cs="宋体"/>
          <w:sz w:val="32"/>
          <w:szCs w:val="32"/>
        </w:rPr>
        <w:t>万元。</w:t>
      </w:r>
    </w:p>
    <w:p>
      <w:pPr>
        <w:spacing w:line="500" w:lineRule="exact"/>
        <w:ind w:firstLine="640" w:firstLineChars="200"/>
        <w:rPr>
          <w:rFonts w:ascii="宋体" w:cs="宋体"/>
          <w:sz w:val="32"/>
          <w:szCs w:val="32"/>
        </w:rPr>
      </w:pPr>
      <w:r>
        <w:rPr>
          <w:rFonts w:hint="eastAsia" w:ascii="宋体" w:hAnsi="宋体" w:cs="宋体"/>
          <w:sz w:val="32"/>
          <w:szCs w:val="32"/>
        </w:rPr>
        <w:t>九、机关运行经费支出情况</w:t>
      </w:r>
    </w:p>
    <w:p>
      <w:pPr>
        <w:spacing w:line="500" w:lineRule="exact"/>
        <w:ind w:firstLine="640" w:firstLineChars="200"/>
        <w:rPr>
          <w:rFonts w:ascii="宋体" w:cs="Times New Roman"/>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年长春市二道区委老干部局机关运行经费财政拨款支出</w:t>
      </w:r>
      <w:r>
        <w:rPr>
          <w:rFonts w:hint="eastAsia" w:ascii="宋体" w:hAnsi="宋体" w:cs="宋体"/>
          <w:sz w:val="32"/>
          <w:szCs w:val="32"/>
          <w:highlight w:val="none"/>
          <w:lang w:val="en-US" w:eastAsia="zh-CN"/>
        </w:rPr>
        <w:t>11.05</w:t>
      </w:r>
      <w:r>
        <w:rPr>
          <w:rFonts w:hint="eastAsia" w:ascii="宋体" w:hAnsi="宋体" w:cs="宋体"/>
          <w:sz w:val="32"/>
          <w:szCs w:val="32"/>
        </w:rPr>
        <w:t>万元，其中办公费</w:t>
      </w:r>
      <w:r>
        <w:rPr>
          <w:rFonts w:hint="eastAsia" w:ascii="宋体" w:hAnsi="宋体" w:cs="宋体"/>
          <w:sz w:val="32"/>
          <w:szCs w:val="32"/>
          <w:lang w:val="en-US" w:eastAsia="zh-CN"/>
        </w:rPr>
        <w:t>5.43</w:t>
      </w:r>
      <w:r>
        <w:rPr>
          <w:rFonts w:hint="eastAsia" w:ascii="宋体" w:hAnsi="宋体" w:cs="宋体"/>
          <w:sz w:val="32"/>
          <w:szCs w:val="32"/>
        </w:rPr>
        <w:t>万元，手续费</w:t>
      </w:r>
      <w:r>
        <w:rPr>
          <w:rFonts w:ascii="宋体" w:hAnsi="宋体" w:cs="宋体"/>
          <w:sz w:val="32"/>
          <w:szCs w:val="32"/>
        </w:rPr>
        <w:t>0.01</w:t>
      </w:r>
      <w:r>
        <w:rPr>
          <w:rFonts w:hint="eastAsia" w:ascii="宋体" w:hAnsi="宋体" w:cs="宋体"/>
          <w:sz w:val="32"/>
          <w:szCs w:val="32"/>
        </w:rPr>
        <w:t>万元，邮电费</w:t>
      </w:r>
      <w:r>
        <w:rPr>
          <w:rFonts w:ascii="宋体" w:hAnsi="宋体" w:cs="宋体"/>
          <w:sz w:val="32"/>
          <w:szCs w:val="32"/>
          <w:highlight w:val="none"/>
        </w:rPr>
        <w:t>0.</w:t>
      </w:r>
      <w:r>
        <w:rPr>
          <w:rFonts w:hint="eastAsia" w:ascii="宋体" w:hAnsi="宋体" w:cs="宋体"/>
          <w:sz w:val="32"/>
          <w:szCs w:val="32"/>
          <w:highlight w:val="none"/>
          <w:lang w:val="en-US" w:eastAsia="zh-CN"/>
        </w:rPr>
        <w:t>0</w:t>
      </w:r>
      <w:r>
        <w:rPr>
          <w:rFonts w:ascii="宋体" w:hAnsi="宋体" w:cs="宋体"/>
          <w:sz w:val="32"/>
          <w:szCs w:val="32"/>
          <w:highlight w:val="none"/>
        </w:rPr>
        <w:t>5</w:t>
      </w:r>
      <w:r>
        <w:rPr>
          <w:rFonts w:hint="eastAsia" w:ascii="宋体" w:hAnsi="宋体" w:cs="宋体"/>
          <w:sz w:val="32"/>
          <w:szCs w:val="32"/>
        </w:rPr>
        <w:t>万元，公务用车运行维护费</w:t>
      </w:r>
      <w:r>
        <w:rPr>
          <w:rFonts w:ascii="宋体" w:hAnsi="宋体" w:cs="宋体"/>
          <w:sz w:val="32"/>
          <w:szCs w:val="32"/>
          <w:highlight w:val="none"/>
        </w:rPr>
        <w:t>2.63</w:t>
      </w:r>
      <w:r>
        <w:rPr>
          <w:rFonts w:hint="eastAsia" w:ascii="宋体" w:hAnsi="宋体" w:cs="宋体"/>
          <w:sz w:val="32"/>
          <w:szCs w:val="32"/>
        </w:rPr>
        <w:t>万元，，劳务费</w:t>
      </w:r>
      <w:r>
        <w:rPr>
          <w:rFonts w:hint="eastAsia" w:ascii="宋体" w:hAnsi="宋体" w:cs="宋体"/>
          <w:sz w:val="32"/>
          <w:szCs w:val="32"/>
          <w:lang w:val="en-US" w:eastAsia="zh-CN"/>
        </w:rPr>
        <w:t>2.93</w:t>
      </w:r>
      <w:r>
        <w:rPr>
          <w:rFonts w:hint="eastAsia" w:ascii="宋体" w:hAnsi="宋体" w:cs="宋体"/>
          <w:sz w:val="32"/>
          <w:szCs w:val="32"/>
        </w:rPr>
        <w:t>万元，</w:t>
      </w:r>
    </w:p>
    <w:p>
      <w:pPr>
        <w:spacing w:line="500" w:lineRule="exact"/>
        <w:ind w:firstLine="640" w:firstLineChars="200"/>
        <w:rPr>
          <w:rFonts w:ascii="宋体" w:cs="宋体"/>
          <w:sz w:val="32"/>
          <w:szCs w:val="32"/>
        </w:rPr>
      </w:pPr>
      <w:r>
        <w:rPr>
          <w:rFonts w:hint="eastAsia" w:ascii="宋体" w:hAnsi="宋体" w:cs="宋体"/>
          <w:sz w:val="32"/>
          <w:szCs w:val="32"/>
        </w:rPr>
        <w:t>十、政府采购支出情况</w:t>
      </w:r>
    </w:p>
    <w:p>
      <w:pPr>
        <w:spacing w:line="500" w:lineRule="exact"/>
        <w:ind w:firstLine="640" w:firstLineChars="200"/>
        <w:rPr>
          <w:rFonts w:ascii="宋体" w:cs="宋体"/>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年长春市二道区委老干部局没有政府采购项目预算。</w:t>
      </w:r>
    </w:p>
    <w:p>
      <w:pPr>
        <w:spacing w:line="500" w:lineRule="exact"/>
        <w:ind w:firstLine="640" w:firstLineChars="200"/>
        <w:rPr>
          <w:rFonts w:ascii="宋体" w:cs="Times New Roman"/>
          <w:sz w:val="32"/>
          <w:szCs w:val="32"/>
        </w:rPr>
      </w:pPr>
      <w:r>
        <w:rPr>
          <w:rFonts w:hint="eastAsia" w:ascii="宋体" w:hAnsi="宋体" w:cs="宋体"/>
          <w:sz w:val="32"/>
          <w:szCs w:val="32"/>
        </w:rPr>
        <w:t>十一、国有资产占用情况</w:t>
      </w:r>
    </w:p>
    <w:p>
      <w:pPr>
        <w:spacing w:line="500" w:lineRule="exact"/>
        <w:ind w:firstLine="640" w:firstLineChars="200"/>
        <w:rPr>
          <w:rFonts w:ascii="宋体" w:cs="宋体"/>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年长春市二道区委老干局共有车辆</w:t>
      </w:r>
      <w:r>
        <w:rPr>
          <w:rFonts w:ascii="宋体" w:hAnsi="宋体" w:cs="宋体"/>
          <w:sz w:val="32"/>
          <w:szCs w:val="32"/>
        </w:rPr>
        <w:t>1</w:t>
      </w:r>
      <w:r>
        <w:rPr>
          <w:rFonts w:hint="eastAsia" w:ascii="宋体" w:hAnsi="宋体" w:cs="宋体"/>
          <w:sz w:val="32"/>
          <w:szCs w:val="32"/>
        </w:rPr>
        <w:t>辆。</w:t>
      </w:r>
    </w:p>
    <w:p>
      <w:pPr>
        <w:spacing w:line="500" w:lineRule="exact"/>
        <w:ind w:firstLine="640" w:firstLineChars="200"/>
        <w:rPr>
          <w:rFonts w:hint="eastAsia" w:ascii="宋体" w:hAnsi="宋体" w:cs="宋体"/>
          <w:sz w:val="32"/>
          <w:szCs w:val="32"/>
        </w:rPr>
      </w:pPr>
    </w:p>
    <w:p>
      <w:pPr>
        <w:spacing w:line="500" w:lineRule="exact"/>
        <w:ind w:firstLine="640" w:firstLineChars="200"/>
        <w:rPr>
          <w:rFonts w:ascii="宋体" w:cs="Times New Roman"/>
          <w:sz w:val="32"/>
          <w:szCs w:val="32"/>
        </w:rPr>
      </w:pPr>
      <w:r>
        <w:rPr>
          <w:rFonts w:hint="eastAsia" w:ascii="宋体" w:hAnsi="宋体" w:cs="宋体"/>
          <w:sz w:val="32"/>
          <w:szCs w:val="32"/>
        </w:rPr>
        <w:t>十二、预算绩效情况</w:t>
      </w:r>
    </w:p>
    <w:p>
      <w:pPr>
        <w:autoSpaceDE w:val="0"/>
        <w:autoSpaceDN w:val="0"/>
        <w:adjustRightInd w:val="0"/>
        <w:ind w:firstLine="640" w:firstLineChars="200"/>
        <w:rPr>
          <w:rFonts w:ascii="宋体" w:cs="宋体"/>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年中共长春市二道区委老干部局列入部门预算项目主要是老干部走访慰问经费，贯彻落实中《关于进一步加强和改进离退休干部工作的意见》办发</w:t>
      </w:r>
      <w:r>
        <w:rPr>
          <w:rFonts w:ascii="宋体" w:hAnsi="宋体" w:cs="宋体"/>
          <w:sz w:val="32"/>
          <w:szCs w:val="32"/>
        </w:rPr>
        <w:t>[2016]3</w:t>
      </w:r>
      <w:r>
        <w:rPr>
          <w:rFonts w:hint="eastAsia" w:ascii="宋体" w:hAnsi="宋体" w:cs="宋体"/>
          <w:sz w:val="32"/>
          <w:szCs w:val="32"/>
        </w:rPr>
        <w:t>号，加强对我区离退休干部慰问工作。</w:t>
      </w:r>
    </w:p>
    <w:p>
      <w:pPr>
        <w:autoSpaceDE w:val="0"/>
        <w:autoSpaceDN w:val="0"/>
        <w:adjustRightInd w:val="0"/>
        <w:rPr>
          <w:rFonts w:ascii="宋体" w:cs="Times New Roman"/>
          <w:color w:val="3E3E3E"/>
          <w:kern w:val="0"/>
          <w:sz w:val="32"/>
          <w:szCs w:val="32"/>
        </w:rPr>
      </w:pPr>
    </w:p>
    <w:p>
      <w:pPr>
        <w:spacing w:line="500" w:lineRule="exact"/>
        <w:rPr>
          <w:rFonts w:hint="eastAsia" w:ascii="宋体" w:hAnsi="宋体" w:cs="宋体"/>
          <w:b/>
          <w:bCs/>
          <w:kern w:val="0"/>
          <w:sz w:val="32"/>
          <w:szCs w:val="32"/>
        </w:rPr>
      </w:pPr>
    </w:p>
    <w:p>
      <w:pPr>
        <w:spacing w:line="500" w:lineRule="exact"/>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一、财政拨款收入：指中央财政当年拨付的资金。</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二、其他收入：指除上述“财政拨款收入”、“事业收入”、“事业单位经营收入”等以外的收入。主要是按规定动用的售房收入、存款利息收入等。</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三、基本支出：指为保障机构正常运转、完成日常工作任务而发生的人员支出和公用支出。</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四、项目支出：指在基本支出之外为完成特定行政任务和事业发展目标所发生的支出。</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五、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60" w:lineRule="exact"/>
        <w:rPr>
          <w:rFonts w:ascii="宋体" w:cs="Times New Roman"/>
          <w:kern w:val="0"/>
          <w:sz w:val="32"/>
          <w:szCs w:val="32"/>
        </w:rPr>
      </w:pPr>
      <w:r>
        <w:rPr>
          <w:rFonts w:hint="eastAsia" w:ascii="宋体" w:hAnsi="宋体" w:cs="宋体"/>
          <w:kern w:val="0"/>
          <w:sz w:val="32"/>
          <w:szCs w:val="32"/>
        </w:rPr>
        <w:t>六、机关运行费：为保障行政单位（包括实行公务员管理的事业单位）运行用于购买货物和服务的各项资金，包括办公及印刷费、邮电费、差旅费、会议费、福利费、日常维修费、专用材料及一般设备购置费、办公用房水电费</w:t>
      </w:r>
      <w:r>
        <w:rPr>
          <w:rFonts w:hint="eastAsia" w:ascii="宋体" w:hAnsi="宋体" w:cs="宋体"/>
          <w:kern w:val="0"/>
          <w:sz w:val="32"/>
          <w:szCs w:val="32"/>
          <w:lang w:eastAsia="zh-CN"/>
        </w:rPr>
        <w:t>、</w:t>
      </w:r>
      <w:r>
        <w:rPr>
          <w:rFonts w:hint="eastAsia" w:ascii="宋体" w:hAnsi="宋体" w:cs="宋体"/>
          <w:kern w:val="0"/>
          <w:sz w:val="32"/>
          <w:szCs w:val="32"/>
        </w:rPr>
        <w:t>办公用房取暖费、办公用房物业管理费、公务用车运行维护费以及其他费用。</w:t>
      </w:r>
    </w:p>
    <w:p>
      <w:pPr>
        <w:autoSpaceDE w:val="0"/>
        <w:autoSpaceDN w:val="0"/>
        <w:adjustRightInd w:val="0"/>
        <w:rPr>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35B45"/>
    <w:rsid w:val="00075C6E"/>
    <w:rsid w:val="00077290"/>
    <w:rsid w:val="000A1373"/>
    <w:rsid w:val="000F087E"/>
    <w:rsid w:val="00102AEA"/>
    <w:rsid w:val="00112E35"/>
    <w:rsid w:val="001A03DE"/>
    <w:rsid w:val="001A067E"/>
    <w:rsid w:val="001C3DB7"/>
    <w:rsid w:val="001D66BB"/>
    <w:rsid w:val="001D764C"/>
    <w:rsid w:val="001E1757"/>
    <w:rsid w:val="001F4768"/>
    <w:rsid w:val="002A7FBA"/>
    <w:rsid w:val="00300EEC"/>
    <w:rsid w:val="0035248F"/>
    <w:rsid w:val="00391294"/>
    <w:rsid w:val="003A7ECF"/>
    <w:rsid w:val="00412F0D"/>
    <w:rsid w:val="00415BBF"/>
    <w:rsid w:val="00437D6A"/>
    <w:rsid w:val="004415A0"/>
    <w:rsid w:val="0050084A"/>
    <w:rsid w:val="00520680"/>
    <w:rsid w:val="005211A3"/>
    <w:rsid w:val="005238B0"/>
    <w:rsid w:val="00546164"/>
    <w:rsid w:val="00565076"/>
    <w:rsid w:val="0057123B"/>
    <w:rsid w:val="005759CD"/>
    <w:rsid w:val="005C178A"/>
    <w:rsid w:val="00614FF8"/>
    <w:rsid w:val="00626C72"/>
    <w:rsid w:val="0066668B"/>
    <w:rsid w:val="006B7561"/>
    <w:rsid w:val="006E2BEF"/>
    <w:rsid w:val="00720D92"/>
    <w:rsid w:val="00732B62"/>
    <w:rsid w:val="00762C61"/>
    <w:rsid w:val="007E7B89"/>
    <w:rsid w:val="00815927"/>
    <w:rsid w:val="008273B7"/>
    <w:rsid w:val="008718E6"/>
    <w:rsid w:val="00875658"/>
    <w:rsid w:val="008960D1"/>
    <w:rsid w:val="00932835"/>
    <w:rsid w:val="00942FC0"/>
    <w:rsid w:val="00997711"/>
    <w:rsid w:val="009A12F0"/>
    <w:rsid w:val="009B62C2"/>
    <w:rsid w:val="009F53FD"/>
    <w:rsid w:val="00A2531E"/>
    <w:rsid w:val="00A93642"/>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768EB"/>
    <w:rsid w:val="00DC4B07"/>
    <w:rsid w:val="00DF2DDB"/>
    <w:rsid w:val="00E63DCC"/>
    <w:rsid w:val="00EB0DF0"/>
    <w:rsid w:val="00ED2B29"/>
    <w:rsid w:val="00F331A5"/>
    <w:rsid w:val="00F42943"/>
    <w:rsid w:val="00F46C87"/>
    <w:rsid w:val="00F94E66"/>
    <w:rsid w:val="102B64CB"/>
    <w:rsid w:val="1BE849CD"/>
    <w:rsid w:val="22057A5E"/>
    <w:rsid w:val="254C2FF9"/>
    <w:rsid w:val="33A16F2C"/>
    <w:rsid w:val="363E4F4F"/>
    <w:rsid w:val="3B693836"/>
    <w:rsid w:val="3E2711B9"/>
    <w:rsid w:val="51444915"/>
    <w:rsid w:val="53C42C27"/>
    <w:rsid w:val="73201308"/>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2336</Words>
  <Characters>2565</Characters>
  <Lines>0</Lines>
  <Paragraphs>0</Paragraphs>
  <TotalTime>6</TotalTime>
  <ScaleCrop>false</ScaleCrop>
  <LinksUpToDate>false</LinksUpToDate>
  <CharactersWithSpaces>2593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dcterms:modified xsi:type="dcterms:W3CDTF">2023-01-09T02:33:20Z</dcterms:modified>
  <dc:title>2017年长春市工业和信息化局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A35C412AACE84C70927B7461FD617CF1_13</vt:lpwstr>
  </property>
</Properties>
</file>