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sz w:val="44"/>
          <w:szCs w:val="44"/>
          <w:lang w:val="en-US" w:eastAsia="zh-CN"/>
        </w:rPr>
      </w:pPr>
      <w:r>
        <w:rPr>
          <w:rFonts w:hint="eastAsia" w:ascii="仿宋" w:hAnsi="仿宋" w:eastAsia="仿宋" w:cs="仿宋"/>
          <w:sz w:val="44"/>
          <w:szCs w:val="44"/>
        </w:rPr>
        <w:t>20</w:t>
      </w:r>
      <w:r>
        <w:rPr>
          <w:rFonts w:hint="eastAsia" w:ascii="仿宋" w:hAnsi="仿宋" w:eastAsia="仿宋" w:cs="仿宋"/>
          <w:sz w:val="44"/>
          <w:szCs w:val="44"/>
          <w:lang w:val="en-US" w:eastAsia="zh-CN"/>
        </w:rPr>
        <w:t>23</w:t>
      </w:r>
      <w:r>
        <w:rPr>
          <w:rFonts w:hint="eastAsia" w:ascii="仿宋" w:hAnsi="仿宋" w:eastAsia="仿宋" w:cs="仿宋"/>
          <w:sz w:val="44"/>
          <w:szCs w:val="44"/>
        </w:rPr>
        <w:t>年</w:t>
      </w:r>
      <w:r>
        <w:rPr>
          <w:rFonts w:hint="eastAsia" w:ascii="仿宋" w:hAnsi="仿宋" w:eastAsia="仿宋" w:cs="仿宋"/>
          <w:sz w:val="44"/>
          <w:szCs w:val="44"/>
          <w:lang w:val="en-US" w:eastAsia="zh-CN"/>
        </w:rPr>
        <w:t>中共长春市二道区委组织部</w:t>
      </w:r>
    </w:p>
    <w:p>
      <w:pPr>
        <w:jc w:val="center"/>
        <w:rPr>
          <w:rFonts w:hint="eastAsia" w:ascii="仿宋" w:hAnsi="仿宋" w:eastAsia="仿宋" w:cs="仿宋"/>
          <w:sz w:val="44"/>
          <w:szCs w:val="44"/>
        </w:rPr>
      </w:pPr>
      <w:r>
        <w:rPr>
          <w:rFonts w:hint="eastAsia" w:ascii="仿宋" w:hAnsi="仿宋" w:eastAsia="仿宋" w:cs="仿宋"/>
          <w:sz w:val="44"/>
          <w:szCs w:val="44"/>
        </w:rPr>
        <w:t>部门预算</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bookmarkStart w:id="0" w:name="_GoBack"/>
      <w:bookmarkEnd w:id="0"/>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240" w:lineRule="auto"/>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240" w:lineRule="auto"/>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240" w:lineRule="auto"/>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240" w:lineRule="auto"/>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年财政拨款收支情况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年一般公共预算支出情况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年一般公共预算基本支出情况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年政府性基金预算支出表情况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年部门收支总表情况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年部门收入总表情况</w:t>
      </w:r>
    </w:p>
    <w:p>
      <w:pPr>
        <w:spacing w:line="240" w:lineRule="auto"/>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年部门支出总表情况</w:t>
      </w:r>
    </w:p>
    <w:p>
      <w:pPr>
        <w:spacing w:line="240" w:lineRule="auto"/>
        <w:rPr>
          <w:rFonts w:ascii="宋体" w:cs="Times New Roman"/>
          <w:sz w:val="32"/>
          <w:szCs w:val="32"/>
        </w:rPr>
      </w:pPr>
      <w:r>
        <w:rPr>
          <w:rFonts w:hint="eastAsia" w:ascii="宋体" w:hAnsi="宋体" w:cs="宋体"/>
          <w:sz w:val="32"/>
          <w:szCs w:val="32"/>
        </w:rPr>
        <w:t>九、运行经费支出情况</w:t>
      </w:r>
    </w:p>
    <w:p>
      <w:pPr>
        <w:spacing w:line="240" w:lineRule="auto"/>
        <w:rPr>
          <w:rFonts w:ascii="宋体" w:cs="Times New Roman"/>
          <w:sz w:val="32"/>
          <w:szCs w:val="32"/>
        </w:rPr>
      </w:pPr>
      <w:r>
        <w:rPr>
          <w:rFonts w:hint="eastAsia" w:ascii="宋体" w:hAnsi="宋体" w:cs="宋体"/>
          <w:sz w:val="32"/>
          <w:szCs w:val="32"/>
        </w:rPr>
        <w:t>十、政府采购支出情况</w:t>
      </w:r>
    </w:p>
    <w:p>
      <w:pPr>
        <w:spacing w:line="240" w:lineRule="auto"/>
        <w:rPr>
          <w:rFonts w:ascii="宋体" w:cs="Times New Roman"/>
          <w:sz w:val="32"/>
          <w:szCs w:val="32"/>
        </w:rPr>
      </w:pPr>
      <w:r>
        <w:rPr>
          <w:rFonts w:hint="eastAsia" w:ascii="宋体" w:hAnsi="宋体" w:cs="宋体"/>
          <w:sz w:val="32"/>
          <w:szCs w:val="32"/>
        </w:rPr>
        <w:t>十一、国有资产占用情况</w:t>
      </w:r>
    </w:p>
    <w:p>
      <w:pPr>
        <w:spacing w:line="240" w:lineRule="auto"/>
        <w:rPr>
          <w:rFonts w:ascii="宋体" w:cs="Times New Roman"/>
          <w:sz w:val="32"/>
          <w:szCs w:val="32"/>
        </w:rPr>
      </w:pPr>
      <w:r>
        <w:rPr>
          <w:rFonts w:hint="eastAsia" w:ascii="宋体" w:hAnsi="宋体" w:cs="宋体"/>
          <w:sz w:val="32"/>
          <w:szCs w:val="32"/>
        </w:rPr>
        <w:t>十二、预算绩效情况</w:t>
      </w:r>
    </w:p>
    <w:p>
      <w:pPr>
        <w:spacing w:line="240" w:lineRule="auto"/>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spacing w:line="240" w:lineRule="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方正大标宋简体" w:eastAsia="方正大标宋简体"/>
          <w:sz w:val="44"/>
          <w:szCs w:val="44"/>
        </w:rPr>
      </w:pPr>
      <w:r>
        <w:rPr>
          <w:rFonts w:hint="eastAsia" w:ascii="方正大标宋简体" w:eastAsia="方正大标宋简体"/>
          <w:sz w:val="44"/>
          <w:szCs w:val="44"/>
          <w:lang w:eastAsia="zh-CN"/>
        </w:rPr>
        <w:t>2023</w:t>
      </w:r>
      <w:r>
        <w:rPr>
          <w:rFonts w:hint="eastAsia" w:ascii="方正大标宋简体" w:eastAsia="方正大标宋简体"/>
          <w:sz w:val="44"/>
          <w:szCs w:val="44"/>
        </w:rPr>
        <w:t>年度中共长春市二道区委组织部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方正大标宋简体" w:eastAsia="方正大标宋简体"/>
          <w:sz w:val="44"/>
          <w:szCs w:val="44"/>
        </w:rPr>
      </w:pPr>
      <w:r>
        <w:rPr>
          <w:rFonts w:hint="eastAsia" w:ascii="方正大标宋简体" w:eastAsia="方正大标宋简体"/>
          <w:sz w:val="44"/>
          <w:szCs w:val="44"/>
        </w:rPr>
        <w:t>部门预算</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第一部分</w:t>
      </w:r>
      <w:r>
        <w:rPr>
          <w:rFonts w:hint="eastAsia" w:ascii="宋体" w:hAnsi="宋体" w:cs="宋体"/>
          <w:b/>
          <w:bCs/>
          <w:color w:val="3E3E3E"/>
          <w:kern w:val="0"/>
          <w:sz w:val="32"/>
          <w:szCs w:val="32"/>
          <w:lang w:val="en-US" w:eastAsia="zh-CN"/>
        </w:rPr>
        <w:t xml:space="preserve">  </w:t>
      </w:r>
      <w:r>
        <w:rPr>
          <w:rFonts w:hint="eastAsia" w:ascii="宋体" w:hAnsi="宋体" w:cs="宋体"/>
          <w:b/>
          <w:bCs/>
          <w:color w:val="3E3E3E"/>
          <w:kern w:val="0"/>
          <w:sz w:val="32"/>
          <w:szCs w:val="32"/>
        </w:rPr>
        <w:t>部门概述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根据党的路线、方针、政策和省、市、区委关于组织工作方面的指示、决议，结合本区实际，调查研究全区组织工作的新情况、新问题，提出贯彻党的组织路线的规定、制度、条例、工作方案和具体措施，提请区委决策后组织实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（二）统一管理全区公务员工作。统一管理公务员录用调配、考核奖惩、培训和工资福利等事务，指导全区公务员队伍建设，负责全区公务员管理对外交流合作等。</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负责全区干部队伍建设的宏观管理，制订或参与制订组织、干部、人才工作的重要政策和制度；负责区委管理的领导班子及其成员的考察考核，提出领导班子调整、配备的意见和建议；负责区委管理的干部的考察、任免、工资、待遇、退（离）休审批手续的办理；承办区委管理干部的调配和交流；负责全区优秀年轻干部的选拔、培养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（四）规划、协调、检查、指导全区干部教育工作；负责区委管理的领导干部、优秀年轻干部、公务员的培训组织工作；负责落实上级下达的调训计划。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负责全区干部监督工作的宏观指导，对反映领导班子和领导干部的重要问题进行调查了解和督办；负责对处级党政领导干部和干部选拔任用工作进行监督，对有关监督制度的落实情况进行督查，对区管干部的历史遗留问题进行审查，负责对处级领导干部的个人有关事项报告、出国（境）进行日常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负责全区党的基层组织建设工作，指导全区基层党组织抓好党的思想、组织、作风、制度建设，发挥基层党组织战斗堡垒作用；负责研究制定全区基层组织建设规划，对全区基层组织建设提出指导性意见建议；负责全区基层党组织设置、活动指导、典型选树、换届组织等工作；负责区党代会具体组织工作和区党代会闭会期间党代表的培训、联络、组织、管理和作用发挥等工作。</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（七）研究、指导全区党员队伍建设，负责全区发展新党员工作和党员管理教育、党费上缴管理、干部档案管理、干部、党员统计及组织史的编写。</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（八）负责全区人才工作的宏观管理，研究制订有关人才发展规划、人才工作政策，完善机制，做好人才的发现、选拔、使用、培养和激励工作。</w:t>
      </w:r>
    </w:p>
    <w:p>
      <w:pPr>
        <w:spacing w:line="600" w:lineRule="exact"/>
        <w:ind w:firstLine="480" w:firstLineChars="150"/>
        <w:rPr>
          <w:rFonts w:hint="eastAsia" w:ascii="仿宋_GB2312" w:eastAsia="仿宋_GB2312"/>
          <w:sz w:val="32"/>
          <w:szCs w:val="32"/>
        </w:rPr>
      </w:pPr>
      <w:r>
        <w:rPr>
          <w:rFonts w:hint="eastAsia" w:ascii="仿宋_GB2312" w:hAnsi="仿宋_GB2312" w:eastAsia="仿宋_GB2312" w:cs="仿宋_GB2312"/>
          <w:sz w:val="32"/>
          <w:szCs w:val="32"/>
        </w:rPr>
        <w:t>（九）促进中央和省、市、区委有关决策部署在非公经济和社会组织全面贯彻落实；研究非公经济和社会组织党建工作的重要问题和重大事项，及时向区委提出加强和改进工作的意见建议。</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（十）受理党员、干部的申诉，处理有关组织、干部工作的来信来访。</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（十一）</w:t>
      </w:r>
      <w:r>
        <w:rPr>
          <w:rFonts w:hint="eastAsia" w:ascii="仿宋_GB2312" w:eastAsia="仿宋_GB2312"/>
          <w:sz w:val="32"/>
        </w:rPr>
        <w:t>统一管理区委机构编制委员会办公室</w:t>
      </w:r>
      <w:r>
        <w:rPr>
          <w:rFonts w:hint="eastAsia" w:ascii="仿宋_GB2312" w:eastAsia="仿宋_GB2312"/>
          <w:sz w:val="32"/>
          <w:szCs w:val="32"/>
        </w:rPr>
        <w:t>。</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（十二）归口管理区委老干部局。</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（十三）承办区委和市委组织部交办的其他事项。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宋体" w:hAnsi="宋体" w:cs="宋体"/>
          <w:b/>
          <w:bCs/>
          <w:color w:val="3E3E3E"/>
          <w:kern w:val="0"/>
          <w:sz w:val="32"/>
          <w:szCs w:val="32"/>
        </w:rPr>
        <w:t>二、内设机构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（一）办公室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部门下发文件的审核工作；负责文件的收发、传递、转办、归档立卷，及印信管理、文件保密、财务、资产管理工作；负责来信来访的接待处理、转办或催办；负责有关会议的组织和通知工作，会同有关科（室）做好以组织部名义召开的全区性会议的会务工作；负责机关行政管理和后勤服务工作；负责管理省委组织部大组工网以及省委组织部邮件交换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区组织系统调查研究工作，开展党建理论探讨和研究，及时调查了解全区干部工作、基层党建和人才工作情况，为部领导决策提供建议和方案；负责承担上级组织部门下达的调研任务，对全区组织工作新情况、新问题进行调研、总结、提炼，指导和协调全区组织系统的调查研究工作；负责组工信息的编写、上报、下发工作，协调指导全区组织系统信息工作，负责向各级党报、党刊及网络媒体推介典型经验做法和先进事迹材料；负责部领导交办的重要文件、讲话、综合材料等有关文稿的草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（二）干部科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区干部工作的情况综合与宏观管理。研究提出贯彻上级关于干部工作的有关指示精神和实施意见；调查研究领导班子建设方面的经验和问题，提出具有指导性的措施和建议;承办市委交办的区级领导班子及副区级以上领导干部管理工作的具体事项;负责区管处级领导干部和领导班子的考核、任免、调动、奖惩等具体工作;统筹做好优秀年轻干部队伍选育管用工作，提出区管领导班子在年轻干部配备方面的有关建议；做好优秀团职军转干部的接收安置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）干部监督室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全区公务员监督工作进行综合协调和宏观指导。对处级领导班子和领导干部的思想、纪律、作风、经济等问题进行调查核实，提出处理意见。制订或参与制订有关干部监督管理的制度、规定；负责监督检查全区贯彻执行《党政领导干部选拔任用工作条例》及配套法规文件的情况，对违反规定选拔任用干部问题提出处理意见。负责科级干部任免审核的备案工作；负责领导干部个人有关事项报告的日常管理工作；负责管理处级干部出国（境）有关事宜，指导区属各部门科级领导干部出国（境）相关事宜；受理干部工作问题的举报和历史遗留问题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）公务员管理科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区公务员的综合管理工作。负责指导人民团体、群众团体机关和事业单位参照公务员法管理工作；负责全区公务员考核评价工作的政策研究；负责区管干部、公务员、区委管理的事业单位人员的工资、培训、福利和退（离）休等具体工作；负责公务员的招录、区委管理的事业单位人员的招聘等具体工作；负责公务员信息管理及统计年报工作；负责科级以下公务员的考核、调动、奖惩等具体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）基层组织科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党的各项决策部署在基层组织建设的贯彻落实。对全区机关、农村、街道社区、非公有制企业和社会组织党建工作提出指导性意见，组织和参与有关工作调查、经验总结、理论研究。负责基层党组织的设置、调整、隶属关系审批。负责组织指导镇、村（社区）等基层党组织换届选举工作；负责党内先进典型的培养、总结、推荐和表彰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）组织员办公室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区委党代表联络办公室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党员教育规划和党的基本知识教育、经常性思想教育的组织安排和指导。协调有关部门的党员教育工作；负责指导党员的管理和发展党员工作。指导组织员队伍建设；负责党费收缴、使用和管理工作；负责全区民主生活会和组织生活会相关事宜；负责党员组织关系接转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）人才办公室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贯彻落实各级党委有关人才工作的决定和部署，协调、指导各街镇、区级各部门等有关单位研究制定全区人才工作规划及相关政策；负责筹备、承办区委人才工作领导小组会议，组织起草领导小组工作计划、会议纪要、报告以及有关文件，负责领导小组会议决定事项的督办落实；负责做好区级专家管理、联系和服务工作，抓好党政人才、重点企业人才培训工作；负责全区人才工作的调查研究、检查指导、综合协调、政策咨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）区委非公有制企业和社会组织工作委员会办公室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非公有制企业和社会组织党建工作的重要问题和重大事项，及时向区委提出加强和改进工作的意见建议，制定加强非公有制企业和社会组织党建工作的政策、计划和措施。加强对全区非公有制企业和社会组织党建工作的督促、检查和考核，强化工作指导，建立健全工作推进机制和奖惩制度，推动工作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基层治理科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担区委城乡基层治理工作委员会办公室日常工作。负责研究制定党建引领基层治理的政策措施，沟通协调各专项工作组和各相关部门，指导调度督促重点任务落实，选树总结推广先进典型，做好相关会议工作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3E3E3E"/>
          <w:kern w:val="0"/>
          <w:sz w:val="32"/>
          <w:szCs w:val="32"/>
        </w:rPr>
        <w:t>预算基本情况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（一）部门预算单位构成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中共长春市二道区委组织部1个预算单位。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预算单位人员构成情况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宋体" w:cs="Times New Roman"/>
          <w:color w:val="3E3E3E"/>
          <w:kern w:val="0"/>
          <w:sz w:val="32"/>
          <w:szCs w:val="32"/>
        </w:rPr>
      </w:pPr>
      <w:r>
        <w:rPr>
          <w:rFonts w:hint="eastAsia" w:ascii="仿宋_GB2312" w:eastAsia="仿宋_GB2312"/>
          <w:sz w:val="32"/>
          <w:szCs w:val="32"/>
        </w:rPr>
        <w:t>中共长春市二道区委组织部共有工作人员</w:t>
      </w:r>
      <w:r>
        <w:rPr>
          <w:rFonts w:hint="eastAsia" w:ascii="仿宋_GB2312" w:eastAsia="仿宋_GB2312"/>
          <w:sz w:val="32"/>
          <w:szCs w:val="32"/>
          <w:lang w:val="en-US" w:eastAsia="zh-CN"/>
        </w:rPr>
        <w:t>39</w:t>
      </w:r>
      <w:r>
        <w:rPr>
          <w:rFonts w:hint="eastAsia" w:ascii="仿宋_GB2312" w:eastAsia="仿宋_GB2312"/>
          <w:sz w:val="32"/>
          <w:szCs w:val="32"/>
        </w:rPr>
        <w:t>人，其中，在职人员3</w:t>
      </w:r>
      <w:r>
        <w:rPr>
          <w:rFonts w:hint="eastAsia" w:ascii="仿宋_GB2312" w:eastAsia="仿宋_GB2312"/>
          <w:sz w:val="32"/>
          <w:szCs w:val="32"/>
          <w:lang w:val="en-US" w:eastAsia="zh-CN"/>
        </w:rPr>
        <w:t>6</w:t>
      </w:r>
      <w:r>
        <w:rPr>
          <w:rFonts w:hint="eastAsia" w:ascii="仿宋_GB2312" w:eastAsia="仿宋_GB2312"/>
          <w:sz w:val="32"/>
          <w:szCs w:val="32"/>
        </w:rPr>
        <w:t>人员，离退休人员3人。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黑体" w:hAnsi="黑体" w:eastAsia="黑体" w:cs="黑体"/>
          <w:color w:val="3E3E3E"/>
          <w:kern w:val="0"/>
          <w:sz w:val="32"/>
          <w:szCs w:val="32"/>
        </w:rPr>
      </w:pPr>
      <w:r>
        <w:rPr>
          <w:rFonts w:hint="eastAsia" w:ascii="黑体" w:hAnsi="黑体" w:eastAsia="黑体" w:cs="黑体"/>
          <w:sz w:val="32"/>
          <w:szCs w:val="32"/>
        </w:rPr>
        <w:br w:type="page"/>
      </w:r>
      <w:r>
        <w:rPr>
          <w:rFonts w:hint="eastAsia" w:ascii="黑体" w:hAnsi="黑体" w:eastAsia="黑体" w:cs="黑体"/>
          <w:sz w:val="32"/>
          <w:szCs w:val="32"/>
        </w:rPr>
        <w:t xml:space="preserve">第二部分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"http://www.ccgxj.gov.cn/xxgkml/cwgk/201604/W020160405536935785252.xls"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1.</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年财政拨款收支预算表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639"/>
        <w:gridCol w:w="781"/>
        <w:gridCol w:w="39"/>
        <w:gridCol w:w="1258"/>
        <w:gridCol w:w="124"/>
        <w:gridCol w:w="685"/>
        <w:gridCol w:w="735"/>
        <w:gridCol w:w="859"/>
        <w:gridCol w:w="56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1"/>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08" w:type="pct"/>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81" w:type="pct"/>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738"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4" w:type="pct"/>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935" w:type="pct"/>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1162" w:type="pct"/>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5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8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1385.595</w:t>
            </w:r>
          </w:p>
        </w:tc>
        <w:tc>
          <w:tcPr>
            <w:tcW w:w="833" w:type="pct"/>
            <w:gridSpan w:val="3"/>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833" w:type="pct"/>
            <w:gridSpan w:val="3"/>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3"/>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833" w:type="pct"/>
            <w:gridSpan w:val="3"/>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3"/>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五、教育支出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（二）政府性基金预算财政拨款</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3"/>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六、科学技术支出  </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8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"http://www.ccgxj.gov.cn/xxgkml/cwgk/201604/W020160405536937505814.xls"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2.</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年一般公共预算支出预算表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396"/>
        <w:gridCol w:w="396"/>
        <w:gridCol w:w="923"/>
        <w:gridCol w:w="1023"/>
        <w:gridCol w:w="935"/>
        <w:gridCol w:w="935"/>
        <w:gridCol w:w="756"/>
        <w:gridCol w:w="935"/>
        <w:gridCol w:w="576"/>
        <w:gridCol w:w="576"/>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5" w:type="pct"/>
            <w:tcBorders>
              <w:top w:val="nil"/>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232" w:type="pct"/>
            <w:tcBorders>
              <w:top w:val="nil"/>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232" w:type="pct"/>
            <w:tcBorders>
              <w:top w:val="nil"/>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542" w:type="pct"/>
            <w:tcBorders>
              <w:top w:val="nil"/>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601" w:type="pct"/>
            <w:tcBorders>
              <w:top w:val="nil"/>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549"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549"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18"/>
                <w:szCs w:val="18"/>
                <w:u w:val="none"/>
              </w:rPr>
            </w:pPr>
          </w:p>
        </w:tc>
        <w:tc>
          <w:tcPr>
            <w:tcW w:w="549"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7" w:type="pct"/>
            <w:tcBorders>
              <w:top w:val="nil"/>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677" w:type="pct"/>
            <w:gridSpan w:val="2"/>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54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                                             支出</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                                     单位                           经营                             支出</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                                           单位补                                      助支出</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                                            上级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23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23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15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85"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232"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232"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351.875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301.69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50.185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1033.72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组织事务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301.69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50.185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351.875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301.69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50.185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1033.72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1385.595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301.69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50.185</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"http://www.ccgxj.gov.cn/xxgkml/cwgk/201604/W020160405536937815403.xls"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3.</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年一般公共预算基本支出预算表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8"/>
        <w:gridCol w:w="2606"/>
        <w:gridCol w:w="1154"/>
        <w:gridCol w:w="1444"/>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4"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528"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677"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1101" w:type="pc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23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w:t>
            </w:r>
          </w:p>
        </w:tc>
        <w:tc>
          <w:tcPr>
            <w:tcW w:w="2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291.61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kern w:val="2"/>
                <w:sz w:val="18"/>
                <w:szCs w:val="18"/>
                <w:u w:val="none"/>
                <w:lang w:val="en-US" w:eastAsia="zh-CN" w:bidi="ar-SA"/>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236.41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236.41</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55.2</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55.2</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50.185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lang w:val="en-US" w:eastAsia="zh-CN"/>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50.185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default" w:ascii="宋体" w:hAnsi="宋体" w:eastAsia="宋体" w:cs="宋体"/>
                <w:i w:val="0"/>
                <w:iCs w:val="0"/>
                <w:color w:val="000000"/>
                <w:sz w:val="20"/>
                <w:szCs w:val="20"/>
                <w:u w:val="none"/>
                <w:lang w:val="en-US" w:eastAsia="zh-CN"/>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对个人和家庭补助</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10.08</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default" w:ascii="宋体" w:hAnsi="宋体" w:eastAsia="宋体" w:cs="宋体"/>
                <w:i w:val="0"/>
                <w:iCs w:val="0"/>
                <w:color w:val="000000"/>
                <w:sz w:val="20"/>
                <w:szCs w:val="20"/>
                <w:u w:val="none"/>
                <w:lang w:val="en-US" w:eastAsia="zh-CN"/>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0.72</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0.72</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30302</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驻村干部生活补贴</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9.36</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9.36</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351.875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20"/>
                <w:szCs w:val="20"/>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宋体" w:hAnsi="宋体" w:eastAsia="宋体" w:cs="宋体"/>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宋体" w:hAnsi="宋体" w:eastAsia="宋体" w:cs="宋体"/>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"http://www.ccgxj.gov.cn/xxgkml/cwgk/201604/W020160405536939064777.xlsx"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4.</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年一般公共预算“三公”经费支出预算表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4"/>
        <w:gridCol w:w="1028"/>
        <w:gridCol w:w="1224"/>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4"/>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7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603"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18"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298" w:type="pc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r>
              <w:rPr>
                <w:rStyle w:val="9"/>
                <w:rFonts w:hint="eastAsia" w:ascii="宋体" w:hAnsi="宋体" w:eastAsia="宋体" w:cs="宋体"/>
                <w:sz w:val="20"/>
                <w:szCs w:val="20"/>
                <w:lang w:val="en-US" w:eastAsia="zh-CN" w:bidi="ar"/>
              </w:rPr>
              <w:t xml:space="preserve">    </w:t>
            </w:r>
            <w:r>
              <w:rPr>
                <w:rStyle w:val="10"/>
                <w:rFonts w:hint="eastAsia" w:ascii="宋体" w:hAnsi="宋体" w:eastAsia="宋体" w:cs="宋体"/>
                <w:sz w:val="20"/>
                <w:szCs w:val="20"/>
                <w:lang w:val="en-US" w:eastAsia="zh-CN" w:bidi="ar"/>
              </w:rPr>
              <w:t>目</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2023</w:t>
            </w:r>
            <w:r>
              <w:rPr>
                <w:rStyle w:val="10"/>
                <w:rFonts w:hint="eastAsia" w:ascii="宋体" w:hAnsi="宋体" w:eastAsia="宋体" w:cs="宋体"/>
                <w:sz w:val="20"/>
                <w:szCs w:val="20"/>
                <w:lang w:val="en-US" w:eastAsia="zh-CN" w:bidi="ar"/>
              </w:rPr>
              <w:t>年预算数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w:t>
            </w:r>
            <w:r>
              <w:rPr>
                <w:rStyle w:val="9"/>
                <w:rFonts w:hint="eastAsia" w:ascii="宋体" w:hAnsi="宋体" w:eastAsia="宋体" w:cs="宋体"/>
                <w:sz w:val="20"/>
                <w:szCs w:val="20"/>
                <w:lang w:val="en-US" w:eastAsia="zh-CN" w:bidi="ar"/>
              </w:rPr>
              <w:t>2020</w:t>
            </w:r>
            <w:r>
              <w:rPr>
                <w:rStyle w:val="11"/>
                <w:rFonts w:hint="eastAsia" w:ascii="宋体" w:hAnsi="宋体" w:eastAsia="宋体" w:cs="宋体"/>
                <w:sz w:val="20"/>
                <w:szCs w:val="20"/>
                <w:lang w:val="en-US" w:eastAsia="zh-CN" w:bidi="ar"/>
              </w:rPr>
              <w:t>年预算数</w:t>
            </w:r>
            <w:r>
              <w:rPr>
                <w:rStyle w:val="11"/>
                <w:rFonts w:hint="eastAsia" w:ascii="宋体" w:hAnsi="宋体" w:eastAsia="宋体" w:cs="宋体"/>
                <w:sz w:val="20"/>
                <w:szCs w:val="20"/>
                <w:lang w:val="en-US" w:eastAsia="zh-CN" w:bidi="ar"/>
              </w:rPr>
              <w:br w:type="textWrapping"/>
            </w:r>
            <w:r>
              <w:rPr>
                <w:rStyle w:val="11"/>
                <w:rFonts w:hint="eastAsia" w:ascii="宋体" w:hAnsi="宋体" w:eastAsia="宋体" w:cs="宋体"/>
                <w:sz w:val="20"/>
                <w:szCs w:val="20"/>
                <w:lang w:val="en-US" w:eastAsia="zh-CN" w:bidi="ar"/>
              </w:rPr>
              <w:t>增减</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增减变化原因说明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w:t>
            </w:r>
            <w:r>
              <w:rPr>
                <w:rStyle w:val="12"/>
                <w:rFonts w:hint="eastAsia" w:ascii="宋体" w:hAnsi="宋体" w:eastAsia="宋体" w:cs="宋体"/>
                <w:sz w:val="20"/>
                <w:szCs w:val="20"/>
                <w:lang w:val="en-US" w:eastAsia="zh-CN" w:bidi="ar"/>
              </w:rPr>
              <w:t xml:space="preserve"> </w:t>
            </w:r>
            <w:r>
              <w:rPr>
                <w:rStyle w:val="13"/>
                <w:rFonts w:hint="eastAsia" w:ascii="宋体" w:hAnsi="宋体" w:eastAsia="宋体" w:cs="宋体"/>
                <w:sz w:val="20"/>
                <w:szCs w:val="20"/>
                <w:lang w:val="en-US" w:eastAsia="zh-CN" w:bidi="ar"/>
              </w:rPr>
              <w:t>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3"/>
                <w:rFonts w:hint="eastAsia" w:ascii="宋体" w:hAnsi="宋体" w:eastAsia="宋体" w:cs="宋体"/>
                <w:sz w:val="20"/>
                <w:szCs w:val="20"/>
                <w:lang w:val="en-US" w:eastAsia="zh-CN" w:bidi="ar"/>
              </w:rPr>
              <w:t>、因公出国（境）费用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Style w:val="13"/>
                <w:rFonts w:hint="eastAsia" w:ascii="宋体" w:hAnsi="宋体" w:eastAsia="宋体" w:cs="宋体"/>
                <w:sz w:val="20"/>
                <w:szCs w:val="20"/>
                <w:lang w:val="en-US" w:eastAsia="zh-CN" w:bidi="ar"/>
              </w:rPr>
              <w:t>、公务接待费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Style w:val="13"/>
                <w:rFonts w:hint="eastAsia" w:ascii="宋体" w:hAnsi="宋体" w:eastAsia="宋体" w:cs="宋体"/>
                <w:sz w:val="20"/>
                <w:szCs w:val="20"/>
                <w:lang w:val="en-US" w:eastAsia="zh-CN" w:bidi="ar"/>
              </w:rPr>
              <w:t>、公务用车费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3"/>
                <w:rFonts w:hint="eastAsia" w:ascii="宋体" w:hAnsi="宋体" w:eastAsia="宋体" w:cs="宋体"/>
                <w:sz w:val="20"/>
                <w:szCs w:val="20"/>
                <w:lang w:val="en-US" w:eastAsia="zh-CN" w:bidi="ar"/>
              </w:rPr>
              <w:t>其中：（</w:t>
            </w:r>
            <w:r>
              <w:rPr>
                <w:rStyle w:val="12"/>
                <w:rFonts w:hint="eastAsia" w:ascii="宋体" w:hAnsi="宋体" w:eastAsia="宋体" w:cs="宋体"/>
                <w:sz w:val="20"/>
                <w:szCs w:val="20"/>
                <w:lang w:val="en-US" w:eastAsia="zh-CN" w:bidi="ar"/>
              </w:rPr>
              <w:t>1</w:t>
            </w:r>
            <w:r>
              <w:rPr>
                <w:rStyle w:val="13"/>
                <w:rFonts w:hint="eastAsia" w:ascii="宋体" w:hAnsi="宋体" w:eastAsia="宋体" w:cs="宋体"/>
                <w:sz w:val="20"/>
                <w:szCs w:val="20"/>
                <w:lang w:val="en-US" w:eastAsia="zh-CN" w:bidi="ar"/>
              </w:rPr>
              <w:t>）公务用车运行维护费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3"/>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2</w:t>
            </w:r>
            <w:r>
              <w:rPr>
                <w:rStyle w:val="13"/>
                <w:rFonts w:hint="eastAsia" w:ascii="宋体" w:hAnsi="宋体" w:eastAsia="宋体" w:cs="宋体"/>
                <w:sz w:val="20"/>
                <w:szCs w:val="20"/>
                <w:lang w:val="en-US" w:eastAsia="zh-CN" w:bidi="ar"/>
              </w:rPr>
              <w:t>）公务用车购置费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000" w:type="pct"/>
            <w:gridSpan w:val="4"/>
            <w:tcBorders>
              <w:top w:val="nil"/>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2"/>
                <w:rFonts w:hint="eastAsia" w:ascii="宋体" w:hAnsi="宋体" w:eastAsia="宋体" w:cs="宋体"/>
                <w:sz w:val="20"/>
                <w:szCs w:val="20"/>
                <w:lang w:val="en-US" w:eastAsia="zh-CN" w:bidi="ar"/>
              </w:rPr>
              <w:t xml:space="preserve"> </w:t>
            </w:r>
            <w:r>
              <w:rPr>
                <w:rStyle w:val="13"/>
                <w:rFonts w:hint="eastAsia" w:ascii="宋体" w:hAnsi="宋体" w:eastAsia="宋体" w:cs="宋体"/>
                <w:sz w:val="20"/>
                <w:szCs w:val="2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000" w:type="pct"/>
            <w:gridSpan w:val="4"/>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w:t>
            </w:r>
            <w:r>
              <w:rPr>
                <w:rStyle w:val="14"/>
                <w:rFonts w:hint="eastAsia" w:ascii="宋体" w:hAnsi="宋体" w:eastAsia="宋体" w:cs="宋体"/>
                <w:sz w:val="20"/>
                <w:szCs w:val="20"/>
                <w:lang w:val="en-US" w:eastAsia="zh-CN" w:bidi="ar"/>
              </w:rPr>
              <w:t>、</w:t>
            </w:r>
            <w:r>
              <w:rPr>
                <w:rStyle w:val="15"/>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t>本年预算数</w:t>
            </w:r>
            <w:r>
              <w:rPr>
                <w:rStyle w:val="15"/>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t>的单位范围包括部门本级</w:t>
            </w:r>
            <w:r>
              <w:rPr>
                <w:rStyle w:val="16"/>
                <w:rFonts w:hint="eastAsia" w:ascii="宋体" w:hAnsi="宋体" w:eastAsia="宋体" w:cs="宋体"/>
                <w:sz w:val="20"/>
                <w:szCs w:val="20"/>
                <w:lang w:val="en-US" w:eastAsia="zh-CN" w:bidi="ar"/>
              </w:rPr>
              <w:t>1</w:t>
            </w:r>
            <w:r>
              <w:rPr>
                <w:rStyle w:val="14"/>
                <w:rFonts w:hint="eastAsia" w:ascii="宋体" w:hAnsi="宋体" w:eastAsia="宋体" w:cs="宋体"/>
                <w:sz w:val="20"/>
                <w:szCs w:val="20"/>
                <w:lang w:val="en-US" w:eastAsia="zh-CN" w:bidi="ar"/>
              </w:rPr>
              <w:t>个预算单位。</w:t>
            </w:r>
            <w:r>
              <w:rPr>
                <w:rStyle w:val="15"/>
                <w:rFonts w:hint="eastAsia" w:ascii="宋体" w:hAnsi="宋体" w:eastAsia="宋体" w:cs="宋体"/>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000" w:type="pct"/>
            <w:gridSpan w:val="4"/>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w:t>
            </w:r>
            <w:r>
              <w:rPr>
                <w:rStyle w:val="14"/>
                <w:rFonts w:hint="eastAsia" w:ascii="宋体" w:hAnsi="宋体" w:eastAsia="宋体" w:cs="宋体"/>
                <w:sz w:val="20"/>
                <w:szCs w:val="20"/>
                <w:lang w:val="en-US" w:eastAsia="zh-CN" w:bidi="ar"/>
              </w:rPr>
              <w:t>、</w:t>
            </w:r>
            <w:r>
              <w:rPr>
                <w:rStyle w:val="15"/>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t>本年预算数</w:t>
            </w:r>
            <w:r>
              <w:rPr>
                <w:rStyle w:val="15"/>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t>的实有人员</w:t>
            </w:r>
            <w:r>
              <w:rPr>
                <w:rStyle w:val="16"/>
                <w:rFonts w:hint="eastAsia" w:ascii="宋体" w:hAnsi="宋体" w:eastAsia="宋体" w:cs="宋体"/>
                <w:sz w:val="20"/>
                <w:szCs w:val="20"/>
                <w:lang w:val="en-US" w:eastAsia="zh-CN" w:bidi="ar"/>
              </w:rPr>
              <w:t xml:space="preserve"> </w:t>
            </w:r>
            <w:r>
              <w:rPr>
                <w:rStyle w:val="16"/>
                <w:rFonts w:hint="eastAsia" w:ascii="宋体" w:hAnsi="宋体" w:cs="宋体"/>
                <w:sz w:val="20"/>
                <w:szCs w:val="20"/>
                <w:lang w:val="en-US" w:eastAsia="zh-CN" w:bidi="ar"/>
              </w:rPr>
              <w:t>39</w:t>
            </w:r>
            <w:r>
              <w:rPr>
                <w:rStyle w:val="14"/>
                <w:rFonts w:hint="eastAsia" w:ascii="宋体" w:hAnsi="宋体" w:eastAsia="宋体" w:cs="宋体"/>
                <w:sz w:val="20"/>
                <w:szCs w:val="20"/>
                <w:lang w:val="en-US" w:eastAsia="zh-CN" w:bidi="ar"/>
              </w:rPr>
              <w:t>人，其中：在职人员</w:t>
            </w:r>
            <w:r>
              <w:rPr>
                <w:rStyle w:val="16"/>
                <w:rFonts w:hint="eastAsia" w:ascii="宋体" w:hAnsi="宋体" w:eastAsia="宋体" w:cs="宋体"/>
                <w:sz w:val="20"/>
                <w:szCs w:val="20"/>
                <w:lang w:val="en-US" w:eastAsia="zh-CN" w:bidi="ar"/>
              </w:rPr>
              <w:t>3</w:t>
            </w:r>
            <w:r>
              <w:rPr>
                <w:rStyle w:val="16"/>
                <w:rFonts w:hint="eastAsia" w:ascii="宋体" w:hAnsi="宋体" w:cs="宋体"/>
                <w:sz w:val="20"/>
                <w:szCs w:val="20"/>
                <w:lang w:val="en-US" w:eastAsia="zh-CN" w:bidi="ar"/>
              </w:rPr>
              <w:t>6</w:t>
            </w:r>
            <w:r>
              <w:rPr>
                <w:rStyle w:val="14"/>
                <w:rFonts w:hint="eastAsia" w:ascii="宋体" w:hAnsi="宋体" w:eastAsia="宋体" w:cs="宋体"/>
                <w:sz w:val="20"/>
                <w:szCs w:val="20"/>
                <w:lang w:val="en-US" w:eastAsia="zh-CN" w:bidi="ar"/>
              </w:rPr>
              <w:t>人，离退休人员</w:t>
            </w:r>
            <w:r>
              <w:rPr>
                <w:rStyle w:val="16"/>
                <w:rFonts w:hint="eastAsia" w:ascii="宋体" w:hAnsi="宋体" w:eastAsia="宋体" w:cs="宋体"/>
                <w:sz w:val="20"/>
                <w:szCs w:val="20"/>
                <w:lang w:val="en-US" w:eastAsia="zh-CN" w:bidi="ar"/>
              </w:rPr>
              <w:t>3</w:t>
            </w:r>
            <w:r>
              <w:rPr>
                <w:rStyle w:val="14"/>
                <w:rFonts w:hint="eastAsia" w:ascii="宋体" w:hAnsi="宋体" w:eastAsia="宋体" w:cs="宋体"/>
                <w:sz w:val="20"/>
                <w:szCs w:val="20"/>
                <w:lang w:val="en-US" w:eastAsia="zh-CN" w:bidi="ar"/>
              </w:rPr>
              <w:t>人。</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"http://www.ccgxj.gov.cn/xxgkml/cwgk/201604/W020160405536938434342.xls"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5.</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年政府性基金预算支出预算表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1742"/>
        <w:gridCol w:w="1040"/>
        <w:gridCol w:w="1742"/>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022"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610"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1022"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1331" w:type="pc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201</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一般公共服务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20132</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组织事务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2013201</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行政运行</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2013202</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一般行政管理事务</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kern w:val="2"/>
                <w:sz w:val="18"/>
                <w:szCs w:val="18"/>
                <w:u w:val="none"/>
                <w:lang w:val="en-US" w:eastAsia="zh-CN" w:bidi="ar-SA"/>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0"/>
                <w:szCs w:val="20"/>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1385.595</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宋体" w:hAnsi="宋体" w:eastAsia="宋体" w:cs="宋体"/>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"http://www.ccgxj.gov.cn/xxgkml/cwgk/201604/W020160405536939218217.xls"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6.</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年部门收支预算总表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1509"/>
        <w:gridCol w:w="1684"/>
        <w:gridCol w:w="2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8" w:type="pct"/>
            <w:gridSpan w:val="3"/>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部门（单位）名称：中共长春市二道区委组织部</w:t>
            </w:r>
          </w:p>
        </w:tc>
        <w:tc>
          <w:tcPr>
            <w:tcW w:w="1321" w:type="pct"/>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69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收      </w:t>
            </w:r>
            <w:r>
              <w:rPr>
                <w:rStyle w:val="17"/>
                <w:rFonts w:hint="eastAsia" w:ascii="宋体" w:hAnsi="宋体" w:eastAsia="宋体" w:cs="宋体"/>
                <w:lang w:val="en-US" w:eastAsia="zh-CN" w:bidi="ar"/>
              </w:rPr>
              <w:t>入</w:t>
            </w:r>
          </w:p>
        </w:tc>
        <w:tc>
          <w:tcPr>
            <w:tcW w:w="230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支      </w:t>
            </w:r>
            <w:r>
              <w:rPr>
                <w:rStyle w:val="17"/>
                <w:rFonts w:hint="eastAsia" w:ascii="宋体" w:hAnsi="宋体" w:eastAsia="宋体" w:cs="宋体"/>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三、事业收入</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四、经营收入</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五、其他收入</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用事业基金弥补收支差额</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结转下年</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2"/>
                <w:szCs w:val="22"/>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宋体" w:hAnsi="宋体" w:eastAsia="宋体" w:cs="宋体"/>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"http://www.ccgxj.gov.cn/xxgkml/cwgk/201604/W020160405536939530065.xls"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E3E3E"/>
          <w:kern w:val="0"/>
          <w:sz w:val="32"/>
          <w:szCs w:val="32"/>
        </w:rPr>
        <w:t>7.</w:t>
      </w: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年部门收入总表表</w:t>
      </w:r>
      <w:r>
        <w:rPr>
          <w:rFonts w:hint="eastAsia" w:ascii="仿宋_GB2312" w:hAnsi="仿宋_GB2312" w:eastAsia="仿宋_GB2312" w:cs="仿宋_GB2312"/>
          <w:color w:val="3E3E3E"/>
          <w:kern w:val="0"/>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694"/>
        <w:gridCol w:w="1016"/>
        <w:gridCol w:w="1016"/>
        <w:gridCol w:w="521"/>
        <w:gridCol w:w="521"/>
        <w:gridCol w:w="521"/>
        <w:gridCol w:w="521"/>
        <w:gridCol w:w="521"/>
        <w:gridCol w:w="526"/>
        <w:gridCol w:w="526"/>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7"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功能科目编码（类款项）</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功能科目名称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用事业基金弥补收支差额</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组织事务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1385.595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1385.595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firstLine="360"/>
        <w:jc w:val="left"/>
        <w:rPr>
          <w:rFonts w:hint="eastAsia" w:ascii="宋体" w:hAnsi="宋体" w:eastAsia="宋体" w:cs="宋体"/>
          <w:color w:val="3E3E3E"/>
          <w:kern w:val="0"/>
          <w:sz w:val="32"/>
          <w:szCs w:val="32"/>
        </w:rPr>
      </w:pPr>
      <w:r>
        <w:rPr>
          <w:rFonts w:hint="eastAsia" w:ascii="宋体" w:hAnsi="宋体" w:eastAsia="宋体" w:cs="宋体"/>
          <w:color w:val="3E3E3E"/>
          <w:kern w:val="0"/>
          <w:sz w:val="32"/>
          <w:szCs w:val="32"/>
        </w:rPr>
        <w:t>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360"/>
        <w:jc w:val="left"/>
        <w:rPr>
          <w:rFonts w:hint="eastAsia" w:ascii="宋体" w:hAnsi="宋体" w:eastAsia="宋体" w:cs="宋体"/>
          <w:color w:val="3E3E3E"/>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360"/>
        <w:jc w:val="left"/>
        <w:rPr>
          <w:rFonts w:hint="eastAsia" w:ascii="宋体" w:hAnsi="宋体" w:eastAsia="宋体" w:cs="宋体"/>
          <w:color w:val="3E3E3E"/>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360"/>
        <w:jc w:val="left"/>
        <w:rPr>
          <w:rFonts w:hint="eastAsia" w:ascii="宋体" w:hAnsi="宋体" w:eastAsia="宋体" w:cs="宋体"/>
          <w:color w:val="3E3E3E"/>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360"/>
        <w:jc w:val="left"/>
        <w:rPr>
          <w:rFonts w:hint="eastAsia" w:ascii="宋体" w:hAnsi="宋体" w:eastAsia="宋体" w:cs="宋体"/>
          <w:color w:val="3E3E3E"/>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360"/>
        <w:jc w:val="left"/>
        <w:rPr>
          <w:rFonts w:hint="eastAsia" w:ascii="宋体" w:hAnsi="宋体" w:eastAsia="宋体" w:cs="宋体"/>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"http://www.ccgxj.gov.cn/xxgkml/cwgk/201604/W020160405536939687469.xls"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部门支出预算总表</w:t>
      </w:r>
      <w:r>
        <w:rPr>
          <w:rFonts w:hint="eastAsia" w:ascii="仿宋_GB2312" w:hAnsi="仿宋_GB2312" w:eastAsia="仿宋_GB2312" w:cs="仿宋_GB2312"/>
          <w:sz w:val="32"/>
          <w:szCs w:val="32"/>
        </w:rPr>
        <w:fldChar w:fldCharType="end"/>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1808"/>
        <w:gridCol w:w="936"/>
        <w:gridCol w:w="846"/>
        <w:gridCol w:w="932"/>
        <w:gridCol w:w="777"/>
        <w:gridCol w:w="804"/>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0"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1061"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56"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功能科目编码（类款项）</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功能科目名称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8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对下级补助支出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2013201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kern w:val="2"/>
                <w:sz w:val="18"/>
                <w:szCs w:val="18"/>
                <w:u w:val="none"/>
                <w:lang w:val="en-US" w:eastAsia="zh-CN" w:bidi="ar-SA"/>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2013202</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right"/>
              <w:rPr>
                <w:rFonts w:hint="eastAsia" w:ascii="宋体" w:hAnsi="宋体" w:eastAsia="宋体" w:cs="宋体"/>
                <w:i w:val="0"/>
                <w:iCs w:val="0"/>
                <w:color w:val="000000"/>
                <w:kern w:val="2"/>
                <w:sz w:val="18"/>
                <w:szCs w:val="18"/>
                <w:u w:val="none"/>
                <w:lang w:val="en-US" w:eastAsia="zh-CN" w:bidi="ar-SA"/>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1385.595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351.875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1033.72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ascii="宋体" w:hAnsi="宋体" w:eastAsia="宋体" w:cs="宋体"/>
                <w:i w:val="0"/>
                <w:iCs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beforeAutospacing="0" w:afterAutospacing="0" w:line="240" w:lineRule="auto"/>
        <w:jc w:val="left"/>
        <w:rPr>
          <w:rFonts w:ascii="宋体" w:cs="Times New Roman"/>
          <w:b/>
          <w:bCs/>
          <w:color w:val="3E3E3E"/>
          <w:kern w:val="0"/>
          <w:sz w:val="32"/>
          <w:szCs w:val="32"/>
        </w:rPr>
      </w:pPr>
      <w:r>
        <w:rPr>
          <w:rFonts w:hint="eastAsia" w:ascii="宋体" w:hAnsi="宋体" w:cs="宋体"/>
          <w:color w:val="3E3E3E"/>
          <w:kern w:val="0"/>
          <w:sz w:val="32"/>
          <w:szCs w:val="32"/>
        </w:rPr>
        <w:br w:type="page"/>
      </w: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keepNext w:val="0"/>
        <w:keepLines w:val="0"/>
        <w:pageBreakBefore w:val="0"/>
        <w:widowControl/>
        <w:kinsoku/>
        <w:wordWrap/>
        <w:overflowPunct/>
        <w:topLinePunct w:val="0"/>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一、</w:t>
      </w:r>
      <w:r>
        <w:rPr>
          <w:rFonts w:hint="eastAsia" w:ascii="仿宋_GB2312" w:hAnsi="仿宋_GB2312" w:eastAsia="仿宋_GB2312" w:cs="仿宋_GB2312"/>
          <w:b/>
          <w:bCs/>
          <w:color w:val="3E3E3E"/>
          <w:kern w:val="0"/>
          <w:sz w:val="32"/>
          <w:szCs w:val="32"/>
          <w:lang w:eastAsia="zh-CN"/>
        </w:rPr>
        <w:t>2023</w:t>
      </w:r>
      <w:r>
        <w:rPr>
          <w:rFonts w:hint="eastAsia" w:ascii="仿宋_GB2312" w:hAnsi="仿宋_GB2312" w:eastAsia="仿宋_GB2312" w:cs="仿宋_GB2312"/>
          <w:b/>
          <w:bCs/>
          <w:color w:val="3E3E3E"/>
          <w:kern w:val="0"/>
          <w:sz w:val="32"/>
          <w:szCs w:val="32"/>
        </w:rPr>
        <w:t>年财政拨款收支说明</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lang w:val="en-US" w:eastAsia="zh-CN"/>
        </w:rPr>
        <w:t>2023</w:t>
      </w:r>
      <w:r>
        <w:rPr>
          <w:rFonts w:hint="eastAsia" w:ascii="仿宋_GB2312" w:hAnsi="仿宋_GB2312" w:eastAsia="仿宋_GB2312" w:cs="仿宋_GB2312"/>
          <w:color w:val="3E3E3E"/>
          <w:kern w:val="0"/>
          <w:sz w:val="32"/>
          <w:szCs w:val="32"/>
        </w:rPr>
        <w:t>年财政拨款</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万元,纳入政府性基金</w:t>
      </w:r>
      <w:r>
        <w:rPr>
          <w:rFonts w:hint="eastAsia" w:ascii="仿宋_GB2312" w:hAnsi="仿宋_GB2312" w:eastAsia="仿宋_GB2312" w:cs="仿宋_GB2312"/>
          <w:color w:val="3E3E3E"/>
          <w:kern w:val="0"/>
          <w:sz w:val="32"/>
          <w:szCs w:val="32"/>
          <w:lang w:val="en-US" w:eastAsia="zh-CN"/>
        </w:rPr>
        <w:t>0</w:t>
      </w:r>
      <w:r>
        <w:rPr>
          <w:rFonts w:hint="eastAsia" w:ascii="仿宋_GB2312" w:hAnsi="仿宋_GB2312" w:eastAsia="仿宋_GB2312" w:cs="仿宋_GB2312"/>
          <w:color w:val="3E3E3E"/>
          <w:kern w:val="0"/>
          <w:sz w:val="32"/>
          <w:szCs w:val="32"/>
        </w:rPr>
        <w:t>万元,其他收入</w:t>
      </w:r>
      <w:r>
        <w:rPr>
          <w:rFonts w:hint="eastAsia" w:ascii="仿宋_GB2312" w:hAnsi="仿宋_GB2312" w:eastAsia="仿宋_GB2312" w:cs="仿宋_GB2312"/>
          <w:color w:val="3E3E3E"/>
          <w:kern w:val="0"/>
          <w:sz w:val="32"/>
          <w:szCs w:val="32"/>
          <w:lang w:val="en-US" w:eastAsia="zh-CN"/>
        </w:rPr>
        <w:t>0</w:t>
      </w:r>
      <w:r>
        <w:rPr>
          <w:rFonts w:hint="eastAsia" w:ascii="仿宋_GB2312" w:hAnsi="仿宋_GB2312" w:eastAsia="仿宋_GB2312" w:cs="仿宋_GB2312"/>
          <w:color w:val="3E3E3E"/>
          <w:kern w:val="0"/>
          <w:sz w:val="32"/>
          <w:szCs w:val="32"/>
        </w:rPr>
        <w:t>万元,收入合计</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w:t>
      </w:r>
      <w:r>
        <w:rPr>
          <w:rFonts w:hint="eastAsia" w:ascii="仿宋_GB2312" w:hAnsi="仿宋_GB2312" w:eastAsia="仿宋_GB2312" w:cs="仿宋_GB2312"/>
          <w:color w:val="3E3E3E"/>
          <w:kern w:val="0"/>
          <w:sz w:val="32"/>
          <w:szCs w:val="32"/>
          <w:lang w:val="en-US" w:eastAsia="zh-CN"/>
        </w:rPr>
        <w:t>23</w:t>
      </w:r>
      <w:r>
        <w:rPr>
          <w:rFonts w:hint="eastAsia" w:ascii="仿宋_GB2312" w:hAnsi="仿宋_GB2312" w:eastAsia="仿宋_GB2312" w:cs="仿宋_GB2312"/>
          <w:color w:val="3E3E3E"/>
          <w:kern w:val="0"/>
          <w:sz w:val="32"/>
          <w:szCs w:val="32"/>
        </w:rPr>
        <w:t>年财政预算支出</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万元，其中，基本支出351.8</w:t>
      </w:r>
      <w:r>
        <w:rPr>
          <w:rFonts w:hint="eastAsia" w:ascii="仿宋_GB2312" w:hAnsi="仿宋_GB2312" w:eastAsia="仿宋_GB2312" w:cs="仿宋_GB2312"/>
          <w:color w:val="3E3E3E"/>
          <w:kern w:val="0"/>
          <w:sz w:val="32"/>
          <w:szCs w:val="32"/>
          <w:lang w:val="en-US" w:eastAsia="zh-CN"/>
        </w:rPr>
        <w:t>75</w:t>
      </w:r>
      <w:r>
        <w:rPr>
          <w:rFonts w:hint="eastAsia" w:ascii="仿宋_GB2312" w:hAnsi="仿宋_GB2312" w:eastAsia="仿宋_GB2312" w:cs="仿宋_GB2312"/>
          <w:color w:val="3E3E3E"/>
          <w:kern w:val="0"/>
          <w:sz w:val="32"/>
          <w:szCs w:val="32"/>
        </w:rPr>
        <w:t>万元，项目支出1033.72万元。</w:t>
      </w:r>
    </w:p>
    <w:p>
      <w:pPr>
        <w:keepNext w:val="0"/>
        <w:keepLines w:val="0"/>
        <w:pageBreakBefore w:val="0"/>
        <w:widowControl/>
        <w:kinsoku/>
        <w:wordWrap/>
        <w:overflowPunct/>
        <w:topLinePunct w:val="0"/>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二、</w:t>
      </w:r>
      <w:r>
        <w:rPr>
          <w:rFonts w:hint="eastAsia" w:ascii="仿宋_GB2312" w:hAnsi="仿宋_GB2312" w:eastAsia="仿宋_GB2312" w:cs="仿宋_GB2312"/>
          <w:b/>
          <w:bCs/>
          <w:color w:val="3E3E3E"/>
          <w:kern w:val="0"/>
          <w:sz w:val="32"/>
          <w:szCs w:val="32"/>
          <w:lang w:eastAsia="zh-CN"/>
        </w:rPr>
        <w:t>2023</w:t>
      </w:r>
      <w:r>
        <w:rPr>
          <w:rFonts w:hint="eastAsia" w:ascii="仿宋_GB2312" w:hAnsi="仿宋_GB2312" w:eastAsia="仿宋_GB2312" w:cs="仿宋_GB2312"/>
          <w:b/>
          <w:bCs/>
          <w:color w:val="3E3E3E"/>
          <w:kern w:val="0"/>
          <w:sz w:val="32"/>
          <w:szCs w:val="32"/>
        </w:rPr>
        <w:t>年一般公共预算支出表说明</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组织事务支出</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w:t>
      </w:r>
    </w:p>
    <w:p>
      <w:pPr>
        <w:keepNext w:val="0"/>
        <w:keepLines w:val="0"/>
        <w:pageBreakBefore w:val="0"/>
        <w:widowControl/>
        <w:kinsoku/>
        <w:wordWrap/>
        <w:overflowPunct/>
        <w:topLinePunct w:val="0"/>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三、</w:t>
      </w:r>
      <w:r>
        <w:rPr>
          <w:rFonts w:hint="eastAsia" w:ascii="仿宋_GB2312" w:hAnsi="仿宋_GB2312" w:eastAsia="仿宋_GB2312" w:cs="仿宋_GB2312"/>
          <w:b/>
          <w:bCs/>
          <w:color w:val="3E3E3E"/>
          <w:kern w:val="0"/>
          <w:sz w:val="32"/>
          <w:szCs w:val="32"/>
          <w:lang w:eastAsia="zh-CN"/>
        </w:rPr>
        <w:t>2023</w:t>
      </w:r>
      <w:r>
        <w:rPr>
          <w:rFonts w:hint="eastAsia" w:ascii="仿宋_GB2312" w:hAnsi="仿宋_GB2312" w:eastAsia="仿宋_GB2312" w:cs="仿宋_GB2312"/>
          <w:b/>
          <w:bCs/>
          <w:color w:val="3E3E3E"/>
          <w:kern w:val="0"/>
          <w:sz w:val="32"/>
          <w:szCs w:val="32"/>
        </w:rPr>
        <w:t>年一般公共预算基本支出情况说明</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1.工资福利支出291.61万元</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2.商品和服务支出</w:t>
      </w:r>
      <w:r>
        <w:rPr>
          <w:rFonts w:hint="eastAsia" w:ascii="仿宋_GB2312" w:hAnsi="仿宋_GB2312" w:eastAsia="仿宋_GB2312" w:cs="仿宋_GB2312"/>
          <w:color w:val="3E3E3E"/>
          <w:kern w:val="0"/>
          <w:sz w:val="32"/>
          <w:szCs w:val="32"/>
          <w:lang w:val="en-US" w:eastAsia="zh-CN"/>
        </w:rPr>
        <w:t>50.185</w:t>
      </w:r>
      <w:r>
        <w:rPr>
          <w:rFonts w:hint="eastAsia" w:ascii="仿宋_GB2312" w:hAnsi="仿宋_GB2312" w:eastAsia="仿宋_GB2312" w:cs="仿宋_GB2312"/>
          <w:color w:val="3E3E3E"/>
          <w:kern w:val="0"/>
          <w:sz w:val="32"/>
          <w:szCs w:val="32"/>
        </w:rPr>
        <w:t>万元</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3.对个人和家庭补助支出</w:t>
      </w:r>
      <w:r>
        <w:rPr>
          <w:rFonts w:hint="eastAsia" w:ascii="仿宋_GB2312" w:hAnsi="仿宋_GB2312" w:eastAsia="仿宋_GB2312" w:cs="仿宋_GB2312"/>
          <w:color w:val="3E3E3E"/>
          <w:kern w:val="0"/>
          <w:sz w:val="32"/>
          <w:szCs w:val="32"/>
          <w:lang w:val="en-US" w:eastAsia="zh-CN"/>
        </w:rPr>
        <w:t>10.08</w:t>
      </w:r>
      <w:r>
        <w:rPr>
          <w:rFonts w:hint="eastAsia" w:ascii="仿宋_GB2312" w:hAnsi="仿宋_GB2312" w:eastAsia="仿宋_GB2312" w:cs="仿宋_GB2312"/>
          <w:color w:val="3E3E3E"/>
          <w:kern w:val="0"/>
          <w:sz w:val="32"/>
          <w:szCs w:val="32"/>
        </w:rPr>
        <w:t>万元</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共计基本支出</w:t>
      </w:r>
      <w:r>
        <w:rPr>
          <w:rFonts w:hint="eastAsia" w:ascii="仿宋_GB2312" w:hAnsi="仿宋_GB2312" w:eastAsia="仿宋_GB2312" w:cs="仿宋_GB2312"/>
          <w:color w:val="3E3E3E"/>
          <w:kern w:val="0"/>
          <w:sz w:val="32"/>
          <w:szCs w:val="32"/>
          <w:lang w:val="en-US" w:eastAsia="zh-CN"/>
        </w:rPr>
        <w:t>351.875</w:t>
      </w:r>
      <w:r>
        <w:rPr>
          <w:rFonts w:hint="eastAsia" w:ascii="仿宋_GB2312" w:hAnsi="仿宋_GB2312" w:eastAsia="仿宋_GB2312" w:cs="仿宋_GB2312"/>
          <w:color w:val="3E3E3E"/>
          <w:kern w:val="0"/>
          <w:sz w:val="32"/>
          <w:szCs w:val="32"/>
        </w:rPr>
        <w:t>万元。</w:t>
      </w:r>
    </w:p>
    <w:p>
      <w:pPr>
        <w:keepNext w:val="0"/>
        <w:keepLines w:val="0"/>
        <w:pageBreakBefore w:val="0"/>
        <w:widowControl/>
        <w:kinsoku/>
        <w:wordWrap/>
        <w:overflowPunct/>
        <w:topLinePunct w:val="0"/>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四、</w:t>
      </w:r>
      <w:r>
        <w:rPr>
          <w:rFonts w:hint="eastAsia" w:ascii="仿宋_GB2312" w:hAnsi="仿宋_GB2312" w:eastAsia="仿宋_GB2312" w:cs="仿宋_GB2312"/>
          <w:b/>
          <w:bCs/>
          <w:color w:val="3E3E3E"/>
          <w:kern w:val="0"/>
          <w:sz w:val="32"/>
          <w:szCs w:val="32"/>
          <w:lang w:eastAsia="zh-CN"/>
        </w:rPr>
        <w:t>2023</w:t>
      </w:r>
      <w:r>
        <w:rPr>
          <w:rFonts w:hint="eastAsia" w:ascii="仿宋_GB2312" w:hAnsi="仿宋_GB2312" w:eastAsia="仿宋_GB2312" w:cs="仿宋_GB2312"/>
          <w:b/>
          <w:bCs/>
          <w:color w:val="3E3E3E"/>
          <w:kern w:val="0"/>
          <w:sz w:val="32"/>
          <w:szCs w:val="32"/>
        </w:rPr>
        <w:t>年“三公”经费预算情况说明</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lang w:eastAsia="zh-CN"/>
        </w:rPr>
        <w:t>2023</w:t>
      </w:r>
      <w:r>
        <w:rPr>
          <w:rFonts w:hint="eastAsia" w:ascii="仿宋_GB2312" w:hAnsi="仿宋_GB2312" w:eastAsia="仿宋_GB2312" w:cs="仿宋_GB2312"/>
          <w:color w:val="3E3E3E"/>
          <w:kern w:val="0"/>
          <w:sz w:val="32"/>
          <w:szCs w:val="32"/>
        </w:rPr>
        <w:t>年“三公”经费预算数</w:t>
      </w:r>
      <w:r>
        <w:rPr>
          <w:rFonts w:hint="eastAsia" w:ascii="仿宋_GB2312" w:hAnsi="仿宋_GB2312" w:eastAsia="仿宋_GB2312" w:cs="仿宋_GB2312"/>
          <w:color w:val="3E3E3E"/>
          <w:kern w:val="0"/>
          <w:sz w:val="32"/>
          <w:szCs w:val="32"/>
          <w:lang w:val="en-US" w:eastAsia="zh-CN"/>
        </w:rPr>
        <w:t>0</w:t>
      </w:r>
      <w:r>
        <w:rPr>
          <w:rFonts w:hint="eastAsia" w:ascii="仿宋_GB2312" w:hAnsi="仿宋_GB2312" w:eastAsia="仿宋_GB2312" w:cs="仿宋_GB2312"/>
          <w:color w:val="3E3E3E"/>
          <w:kern w:val="0"/>
          <w:sz w:val="32"/>
          <w:szCs w:val="32"/>
        </w:rPr>
        <w:t>万元。</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五、</w:t>
      </w:r>
      <w:r>
        <w:rPr>
          <w:rFonts w:hint="eastAsia" w:ascii="仿宋_GB2312" w:hAnsi="仿宋_GB2312" w:eastAsia="仿宋_GB2312" w:cs="仿宋_GB2312"/>
          <w:b/>
          <w:bCs/>
          <w:color w:val="3E3E3E"/>
          <w:kern w:val="0"/>
          <w:sz w:val="32"/>
          <w:szCs w:val="32"/>
          <w:lang w:eastAsia="zh-CN"/>
        </w:rPr>
        <w:t>2023</w:t>
      </w:r>
      <w:r>
        <w:rPr>
          <w:rFonts w:hint="eastAsia" w:ascii="仿宋_GB2312" w:hAnsi="仿宋_GB2312" w:eastAsia="仿宋_GB2312" w:cs="仿宋_GB2312"/>
          <w:b/>
          <w:bCs/>
          <w:color w:val="3E3E3E"/>
          <w:kern w:val="0"/>
          <w:sz w:val="32"/>
          <w:szCs w:val="32"/>
        </w:rPr>
        <w:t>年政府性基金预算说明</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lang w:eastAsia="zh-CN"/>
        </w:rPr>
      </w:pPr>
      <w:r>
        <w:rPr>
          <w:rFonts w:hint="eastAsia" w:ascii="仿宋_GB2312" w:hAnsi="仿宋_GB2312" w:eastAsia="仿宋_GB2312" w:cs="仿宋_GB2312"/>
          <w:color w:val="3E3E3E"/>
          <w:kern w:val="0"/>
          <w:sz w:val="32"/>
          <w:szCs w:val="32"/>
          <w:lang w:eastAsia="zh-CN"/>
        </w:rPr>
        <w:t>无</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六、</w:t>
      </w:r>
      <w:r>
        <w:rPr>
          <w:rFonts w:hint="eastAsia" w:ascii="仿宋_GB2312" w:hAnsi="仿宋_GB2312" w:eastAsia="仿宋_GB2312" w:cs="仿宋_GB2312"/>
          <w:b/>
          <w:bCs/>
          <w:color w:val="3E3E3E"/>
          <w:kern w:val="0"/>
          <w:sz w:val="32"/>
          <w:szCs w:val="32"/>
          <w:lang w:eastAsia="zh-CN"/>
        </w:rPr>
        <w:t>2023</w:t>
      </w:r>
      <w:r>
        <w:rPr>
          <w:rFonts w:hint="eastAsia" w:ascii="仿宋_GB2312" w:hAnsi="仿宋_GB2312" w:eastAsia="仿宋_GB2312" w:cs="仿宋_GB2312"/>
          <w:b/>
          <w:bCs/>
          <w:color w:val="3E3E3E"/>
          <w:kern w:val="0"/>
          <w:sz w:val="32"/>
          <w:szCs w:val="32"/>
        </w:rPr>
        <w:t>年部门收支表说明</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lang w:eastAsia="zh-CN"/>
        </w:rPr>
        <w:t>组织部</w:t>
      </w:r>
      <w:r>
        <w:rPr>
          <w:rFonts w:hint="eastAsia" w:ascii="仿宋_GB2312" w:hAnsi="仿宋_GB2312" w:eastAsia="仿宋_GB2312" w:cs="仿宋_GB2312"/>
          <w:color w:val="3E3E3E"/>
          <w:kern w:val="0"/>
          <w:sz w:val="32"/>
          <w:szCs w:val="32"/>
          <w:lang w:val="en-US" w:eastAsia="zh-CN"/>
        </w:rPr>
        <w:t>2023年</w:t>
      </w:r>
      <w:r>
        <w:rPr>
          <w:rFonts w:hint="eastAsia" w:ascii="仿宋_GB2312" w:hAnsi="仿宋_GB2312" w:eastAsia="仿宋_GB2312" w:cs="仿宋_GB2312"/>
          <w:color w:val="3E3E3E"/>
          <w:kern w:val="0"/>
          <w:sz w:val="32"/>
          <w:szCs w:val="32"/>
        </w:rPr>
        <w:t>总收入</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万元，其中财政拨款</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一般公共服务支出</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七、部门收入总表情况</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lang w:eastAsia="zh-CN"/>
        </w:rPr>
        <w:t>组织部</w:t>
      </w:r>
      <w:r>
        <w:rPr>
          <w:rFonts w:hint="eastAsia" w:ascii="仿宋_GB2312" w:hAnsi="仿宋_GB2312" w:eastAsia="仿宋_GB2312" w:cs="仿宋_GB2312"/>
          <w:color w:val="3E3E3E"/>
          <w:kern w:val="0"/>
          <w:sz w:val="32"/>
          <w:szCs w:val="32"/>
          <w:lang w:val="en-US" w:eastAsia="zh-CN"/>
        </w:rPr>
        <w:t>2023年</w:t>
      </w:r>
      <w:r>
        <w:rPr>
          <w:rFonts w:hint="eastAsia" w:ascii="仿宋_GB2312" w:hAnsi="仿宋_GB2312" w:eastAsia="仿宋_GB2312" w:cs="仿宋_GB2312"/>
          <w:color w:val="3E3E3E"/>
          <w:kern w:val="0"/>
          <w:sz w:val="32"/>
          <w:szCs w:val="32"/>
        </w:rPr>
        <w:t>总收入</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万元，其中财政拨款</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八、部门支出总表情况</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按功能分类：一般公共服务支出</w:t>
      </w:r>
      <w:r>
        <w:rPr>
          <w:rFonts w:hint="eastAsia" w:ascii="仿宋_GB2312" w:hAnsi="仿宋_GB2312" w:eastAsia="仿宋_GB2312" w:cs="仿宋_GB2312"/>
          <w:color w:val="3E3E3E"/>
          <w:kern w:val="0"/>
          <w:sz w:val="32"/>
          <w:szCs w:val="32"/>
          <w:lang w:val="en-US" w:eastAsia="zh-CN"/>
        </w:rPr>
        <w:t>1385.595</w:t>
      </w:r>
      <w:r>
        <w:rPr>
          <w:rFonts w:hint="eastAsia" w:ascii="仿宋_GB2312" w:hAnsi="仿宋_GB2312" w:eastAsia="仿宋_GB2312" w:cs="仿宋_GB2312"/>
          <w:color w:val="3E3E3E"/>
          <w:kern w:val="0"/>
          <w:sz w:val="32"/>
          <w:szCs w:val="32"/>
        </w:rPr>
        <w:t>万元。</w:t>
      </w:r>
    </w:p>
    <w:p>
      <w:pPr>
        <w:keepNext w:val="0"/>
        <w:keepLines w:val="0"/>
        <w:pageBreakBefore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科目分类：基本支出</w:t>
      </w:r>
      <w:r>
        <w:rPr>
          <w:rFonts w:hint="eastAsia" w:ascii="仿宋_GB2312" w:hAnsi="仿宋_GB2312" w:eastAsia="仿宋_GB2312" w:cs="仿宋_GB2312"/>
          <w:color w:val="3E3E3E"/>
          <w:kern w:val="0"/>
          <w:sz w:val="32"/>
          <w:szCs w:val="32"/>
          <w:lang w:val="en-US" w:eastAsia="zh-CN"/>
        </w:rPr>
        <w:t>351.875</w:t>
      </w:r>
      <w:r>
        <w:rPr>
          <w:rFonts w:hint="eastAsia" w:ascii="仿宋_GB2312" w:hAnsi="仿宋_GB2312" w:eastAsia="仿宋_GB2312" w:cs="仿宋_GB2312"/>
          <w:color w:val="3E3E3E"/>
          <w:kern w:val="0"/>
          <w:sz w:val="32"/>
          <w:szCs w:val="32"/>
        </w:rPr>
        <w:t>万元，项目支出</w:t>
      </w:r>
      <w:r>
        <w:rPr>
          <w:rFonts w:hint="eastAsia" w:ascii="仿宋_GB2312" w:hAnsi="仿宋_GB2312" w:eastAsia="仿宋_GB2312" w:cs="仿宋_GB2312"/>
          <w:color w:val="3E3E3E"/>
          <w:kern w:val="0"/>
          <w:sz w:val="32"/>
          <w:szCs w:val="32"/>
          <w:lang w:val="en-US" w:eastAsia="zh-CN"/>
        </w:rPr>
        <w:t>1033.72</w:t>
      </w:r>
      <w:r>
        <w:rPr>
          <w:rFonts w:hint="eastAsia" w:ascii="仿宋_GB2312" w:hAnsi="仿宋_GB2312" w:eastAsia="仿宋_GB2312" w:cs="仿宋_GB2312"/>
          <w:color w:val="3E3E3E"/>
          <w:kern w:val="0"/>
          <w:sz w:val="32"/>
          <w:szCs w:val="32"/>
        </w:rPr>
        <w:t>万元。</w:t>
      </w:r>
    </w:p>
    <w:p>
      <w:pPr>
        <w:keepNext w:val="0"/>
        <w:keepLines w:val="0"/>
        <w:pageBreakBefore w:val="0"/>
        <w:kinsoku/>
        <w:wordWrap/>
        <w:overflowPunct/>
        <w:topLinePunct w:val="0"/>
        <w:autoSpaceDE w:val="0"/>
        <w:autoSpaceDN w:val="0"/>
        <w:bidi w:val="0"/>
        <w:adjustRightInd/>
        <w:snapToGrid/>
        <w:spacing w:beforeAutospacing="0" w:afterAutospacing="0" w:line="240" w:lineRule="auto"/>
        <w:textAlignment w:val="auto"/>
        <w:rPr>
          <w:rFonts w:hint="eastAsia" w:ascii="黑体" w:hAnsi="黑体" w:eastAsia="黑体" w:cs="黑体"/>
          <w:b w:val="0"/>
          <w:bCs w:val="0"/>
          <w:kern w:val="0"/>
          <w:sz w:val="32"/>
          <w:szCs w:val="32"/>
        </w:rPr>
      </w:pPr>
      <w:r>
        <w:rPr>
          <w:rFonts w:hint="eastAsia" w:ascii="仿宋_GB2312" w:hAnsi="仿宋_GB2312" w:eastAsia="仿宋_GB2312" w:cs="仿宋_GB2312"/>
          <w:color w:val="3E3E3E"/>
          <w:kern w:val="0"/>
          <w:sz w:val="32"/>
          <w:szCs w:val="32"/>
        </w:rPr>
        <w:br w:type="page"/>
      </w:r>
      <w:r>
        <w:rPr>
          <w:rFonts w:hint="eastAsia" w:ascii="黑体" w:hAnsi="黑体" w:eastAsia="黑体" w:cs="黑体"/>
          <w:b w:val="0"/>
          <w:bCs w:val="0"/>
          <w:kern w:val="0"/>
          <w:sz w:val="32"/>
          <w:szCs w:val="32"/>
        </w:rPr>
        <w:t>第四部分</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名词解释</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一、财政拨款收入：指中央财政当年拨付的资金。</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二、事业收入：指事业单位开展专业业务活动及辅助活动所取得的收入。</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四、其他收入：指除上述“财政拨款收入”、“事业收入”、“事业单位经营收入”等以外的收入。主要是按规定动用的售房收入、存款利息收入等。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六、上年结转：指以前年度尚未完成，结转到本年仍按原规定用途继续使用的资金（预算中为预计数）。</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七、结转下年：指以前年度预算安排、因客观条件发生变化无法按原计划实施，需延迟到以后年度按原规定用途继续使用的资金（预算中为预计数）。</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住房公积金：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十二、提租补贴：指经国务院批准，于2000 年开始针对在京中央单位公有住房租金标准提高发放的补贴，中央在京单位按照在职在编职工人数和离退休人数以及相应职级的补贴标准确定，人均月补贴90 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十三、购房补贴：是指根据《国务院关于进一步深化城镇住房制度改革加快住房建设的通知》（国发[1998]23 号）的规定，从1998 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年陆续开始发放购房补贴资金，企业根据本单位情况自行确定。在京中央单位按照《中共中央办公厅国务院办公厅转发建设部等单位&lt;关于完善在京中央和国家机关住房制度的若干意见&gt;的通知》（厅字[2005]8 号）规定的标准执行，京外中央单位按照所在地人民政府住房分配货币化改革的政策规定和标准执行。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91FEA"/>
    <w:multiLevelType w:val="singleLevel"/>
    <w:tmpl w:val="C2B91F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5897ADF"/>
    <w:rsid w:val="058A4669"/>
    <w:rsid w:val="167F306F"/>
    <w:rsid w:val="1A4E35AB"/>
    <w:rsid w:val="22057A5E"/>
    <w:rsid w:val="254C2FF9"/>
    <w:rsid w:val="3D6973CF"/>
    <w:rsid w:val="3ED963FE"/>
    <w:rsid w:val="47370385"/>
    <w:rsid w:val="4E7422AD"/>
    <w:rsid w:val="51444915"/>
    <w:rsid w:val="53C42C27"/>
    <w:rsid w:val="56A60A0B"/>
    <w:rsid w:val="5FC27614"/>
    <w:rsid w:val="732318B0"/>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 w:type="character" w:customStyle="1" w:styleId="9">
    <w:name w:val="font121"/>
    <w:basedOn w:val="6"/>
    <w:qFormat/>
    <w:uiPriority w:val="0"/>
    <w:rPr>
      <w:rFonts w:hint="default" w:ascii="Times New Roman" w:hAnsi="Times New Roman" w:cs="Times New Roman"/>
      <w:b/>
      <w:bCs/>
      <w:color w:val="000000"/>
      <w:sz w:val="24"/>
      <w:szCs w:val="24"/>
      <w:u w:val="none"/>
    </w:rPr>
  </w:style>
  <w:style w:type="character" w:customStyle="1" w:styleId="10">
    <w:name w:val="font51"/>
    <w:basedOn w:val="6"/>
    <w:qFormat/>
    <w:uiPriority w:val="0"/>
    <w:rPr>
      <w:rFonts w:hint="eastAsia" w:ascii="宋体" w:hAnsi="宋体" w:eastAsia="宋体" w:cs="宋体"/>
      <w:b/>
      <w:bCs/>
      <w:color w:val="000000"/>
      <w:sz w:val="24"/>
      <w:szCs w:val="24"/>
      <w:u w:val="none"/>
    </w:rPr>
  </w:style>
  <w:style w:type="character" w:customStyle="1" w:styleId="11">
    <w:name w:val="font71"/>
    <w:basedOn w:val="6"/>
    <w:qFormat/>
    <w:uiPriority w:val="0"/>
    <w:rPr>
      <w:rFonts w:hint="eastAsia" w:ascii="宋体" w:hAnsi="宋体" w:eastAsia="宋体" w:cs="宋体"/>
      <w:b/>
      <w:bCs/>
      <w:color w:val="000000"/>
      <w:sz w:val="24"/>
      <w:szCs w:val="24"/>
      <w:u w:val="none"/>
    </w:rPr>
  </w:style>
  <w:style w:type="character" w:customStyle="1" w:styleId="12">
    <w:name w:val="font91"/>
    <w:basedOn w:val="6"/>
    <w:qFormat/>
    <w:uiPriority w:val="0"/>
    <w:rPr>
      <w:rFonts w:hint="default" w:ascii="Times New Roman" w:hAnsi="Times New Roman" w:cs="Times New Roman"/>
      <w:color w:val="000000"/>
      <w:sz w:val="24"/>
      <w:szCs w:val="24"/>
      <w:u w:val="none"/>
    </w:rPr>
  </w:style>
  <w:style w:type="character" w:customStyle="1" w:styleId="13">
    <w:name w:val="font11"/>
    <w:basedOn w:val="6"/>
    <w:qFormat/>
    <w:uiPriority w:val="0"/>
    <w:rPr>
      <w:rFonts w:hint="eastAsia" w:ascii="宋体" w:hAnsi="宋体" w:eastAsia="宋体" w:cs="宋体"/>
      <w:color w:val="000000"/>
      <w:sz w:val="24"/>
      <w:szCs w:val="24"/>
      <w:u w:val="none"/>
    </w:rPr>
  </w:style>
  <w:style w:type="character" w:customStyle="1" w:styleId="14">
    <w:name w:val="font21"/>
    <w:basedOn w:val="6"/>
    <w:qFormat/>
    <w:uiPriority w:val="0"/>
    <w:rPr>
      <w:rFonts w:hint="eastAsia" w:ascii="宋体" w:hAnsi="宋体" w:eastAsia="宋体" w:cs="宋体"/>
      <w:color w:val="000000"/>
      <w:sz w:val="24"/>
      <w:szCs w:val="24"/>
      <w:u w:val="none"/>
    </w:rPr>
  </w:style>
  <w:style w:type="character" w:customStyle="1" w:styleId="15">
    <w:name w:val="font112"/>
    <w:basedOn w:val="6"/>
    <w:qFormat/>
    <w:uiPriority w:val="0"/>
    <w:rPr>
      <w:rFonts w:hint="default" w:ascii="Times New Roman" w:hAnsi="Times New Roman" w:cs="Times New Roman"/>
      <w:color w:val="000000"/>
      <w:sz w:val="24"/>
      <w:szCs w:val="24"/>
      <w:u w:val="none"/>
    </w:rPr>
  </w:style>
  <w:style w:type="character" w:customStyle="1" w:styleId="16">
    <w:name w:val="font81"/>
    <w:basedOn w:val="6"/>
    <w:qFormat/>
    <w:uiPriority w:val="0"/>
    <w:rPr>
      <w:rFonts w:hint="default" w:ascii="Times New Roman" w:hAnsi="Times New Roman" w:cs="Times New Roman"/>
      <w:color w:val="000000"/>
      <w:sz w:val="24"/>
      <w:szCs w:val="24"/>
      <w:u w:val="single"/>
    </w:rPr>
  </w:style>
  <w:style w:type="character" w:customStyle="1" w:styleId="17">
    <w:name w:val="font4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6333</Words>
  <Characters>7204</Characters>
  <Lines>0</Lines>
  <Paragraphs>0</Paragraphs>
  <TotalTime>0</TotalTime>
  <ScaleCrop>false</ScaleCrop>
  <LinksUpToDate>false</LinksUpToDate>
  <CharactersWithSpaces>7617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dcterms:modified xsi:type="dcterms:W3CDTF">2023-01-09T02:33:41Z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B7B97C2EAC2442F38F40ECBF420A553F</vt:lpwstr>
  </property>
  <property fmtid="{D5CDD505-2E9C-101B-9397-08002B2CF9AE}" pid="4" name="KSOSaveFontToCloudKey">
    <vt:lpwstr>439783226_cloud</vt:lpwstr>
  </property>
</Properties>
</file>