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Arial" w:hAnsi="Arial" w:eastAsia="方正小标宋简体" w:cs="Arial"/>
          <w:sz w:val="44"/>
          <w:szCs w:val="44"/>
        </w:rPr>
        <w:t>2023年</w:t>
      </w:r>
      <w:r>
        <w:rPr>
          <w:rFonts w:hint="eastAsia" w:ascii="Arial" w:hAnsi="Arial" w:eastAsia="方正小标宋简体" w:cs="Arial"/>
          <w:sz w:val="44"/>
          <w:szCs w:val="44"/>
          <w:lang w:eastAsia="zh-CN"/>
        </w:rPr>
        <w:t>中共长春市二道区纪律检查委员会</w:t>
      </w:r>
      <w:r>
        <w:rPr>
          <w:rFonts w:hint="eastAsia" w:ascii="Arial" w:hAnsi="Arial" w:eastAsia="方正小标宋简体" w:cs="Arial"/>
          <w:sz w:val="44"/>
          <w:szCs w:val="44"/>
        </w:rPr>
        <w:t>部门预算公开</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hint="eastAsia" w:ascii="方正小标宋简体" w:hAnsi="方正小标宋简体" w:eastAsia="方正小标宋简体" w:cs="方正小标宋简体"/>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hint="eastAsia" w:ascii="宋体" w:eastAsia="宋体" w:cs="Times New Roman"/>
          <w:sz w:val="32"/>
          <w:szCs w:val="32"/>
          <w:lang w:eastAsia="zh-CN"/>
        </w:rPr>
      </w:pPr>
      <w:r>
        <w:rPr>
          <w:rFonts w:hint="eastAsia" w:ascii="宋体" w:hAnsi="宋体" w:cs="宋体"/>
          <w:sz w:val="32"/>
          <w:szCs w:val="32"/>
        </w:rPr>
        <w:t>十</w:t>
      </w:r>
      <w:r>
        <w:rPr>
          <w:rFonts w:hint="eastAsia" w:ascii="宋体" w:hAnsi="宋体" w:cs="宋体"/>
          <w:sz w:val="32"/>
          <w:szCs w:val="32"/>
          <w:lang w:eastAsia="zh-CN"/>
        </w:rPr>
        <w:t>、</w:t>
      </w:r>
      <w:r>
        <w:rPr>
          <w:rFonts w:hint="eastAsia" w:ascii="宋体" w:hAnsi="宋体" w:cs="宋体"/>
          <w:sz w:val="32"/>
          <w:szCs w:val="32"/>
        </w:rPr>
        <w:t>国有资产占用情况</w:t>
      </w:r>
    </w:p>
    <w:p>
      <w:pPr>
        <w:spacing w:line="540" w:lineRule="exact"/>
        <w:rPr>
          <w:rFonts w:ascii="宋体" w:cs="Times New Roman"/>
          <w:sz w:val="44"/>
          <w:szCs w:val="44"/>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360" w:lineRule="auto"/>
        <w:jc w:val="center"/>
        <w:rPr>
          <w:rFonts w:hint="eastAsia" w:ascii="宋体" w:hAnsi="宋体" w:cs="宋体"/>
          <w:sz w:val="44"/>
          <w:szCs w:val="44"/>
        </w:rPr>
      </w:pPr>
      <w:r>
        <w:rPr>
          <w:rFonts w:ascii="宋体" w:hAnsi="宋体" w:cs="宋体"/>
          <w:sz w:val="44"/>
          <w:szCs w:val="44"/>
        </w:rPr>
        <w:t>20</w:t>
      </w:r>
      <w:r>
        <w:rPr>
          <w:rFonts w:hint="eastAsia" w:ascii="宋体" w:hAnsi="宋体" w:cs="宋体"/>
          <w:sz w:val="44"/>
          <w:szCs w:val="44"/>
          <w:lang w:val="en-US" w:eastAsia="zh-CN"/>
        </w:rPr>
        <w:t>23</w:t>
      </w:r>
      <w:r>
        <w:rPr>
          <w:rFonts w:hint="eastAsia" w:ascii="宋体" w:hAnsi="宋体" w:cs="宋体"/>
          <w:sz w:val="44"/>
          <w:szCs w:val="44"/>
        </w:rPr>
        <w:t>年度</w:t>
      </w:r>
    </w:p>
    <w:p>
      <w:pPr>
        <w:widowControl/>
        <w:spacing w:before="100" w:beforeAutospacing="1" w:after="100" w:afterAutospacing="1" w:line="360" w:lineRule="auto"/>
        <w:jc w:val="center"/>
        <w:rPr>
          <w:rFonts w:ascii="宋体" w:cs="Times New Roman"/>
          <w:color w:val="3E3E3E"/>
          <w:kern w:val="0"/>
          <w:sz w:val="18"/>
          <w:szCs w:val="18"/>
        </w:rPr>
      </w:pPr>
      <w:r>
        <w:rPr>
          <w:rFonts w:hint="eastAsia" w:ascii="宋体" w:hAnsi="宋体" w:cs="宋体"/>
          <w:sz w:val="44"/>
          <w:szCs w:val="44"/>
          <w:lang w:val="en-US" w:eastAsia="zh-CN"/>
        </w:rPr>
        <w:t>中国共产党</w:t>
      </w:r>
      <w:r>
        <w:rPr>
          <w:rFonts w:hint="eastAsia" w:ascii="宋体" w:hAnsi="宋体" w:cs="宋体"/>
          <w:sz w:val="44"/>
          <w:szCs w:val="44"/>
        </w:rPr>
        <w:t>长春市</w:t>
      </w:r>
      <w:r>
        <w:rPr>
          <w:rFonts w:hint="eastAsia" w:ascii="宋体" w:hAnsi="宋体" w:cs="宋体"/>
          <w:sz w:val="44"/>
          <w:szCs w:val="44"/>
          <w:lang w:eastAsia="zh-CN"/>
        </w:rPr>
        <w:t>二道区</w:t>
      </w:r>
      <w:r>
        <w:rPr>
          <w:rFonts w:hint="eastAsia" w:ascii="宋体" w:hAnsi="宋体" w:cs="宋体"/>
          <w:sz w:val="44"/>
          <w:szCs w:val="44"/>
          <w:lang w:val="en-US" w:eastAsia="zh-CN"/>
        </w:rPr>
        <w:t>纪律检查委员会</w:t>
      </w:r>
      <w:r>
        <w:rPr>
          <w:rFonts w:hint="eastAsia" w:ascii="宋体" w:hAnsi="宋体" w:cs="宋体"/>
          <w:sz w:val="44"/>
          <w:szCs w:val="44"/>
        </w:rPr>
        <w:t>部门预算</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hd w:val="clear" w:color="auto" w:fill="FFFFFF"/>
        <w:spacing w:line="560" w:lineRule="exact"/>
        <w:jc w:val="left"/>
        <w:rPr>
          <w:rFonts w:hint="eastAsia" w:ascii="仿宋_GB2312" w:hAnsi="仿宋_GB2312" w:eastAsia="仿宋_GB2312" w:cs="仿宋_GB2312"/>
          <w:sz w:val="32"/>
          <w:szCs w:val="32"/>
          <w:lang w:eastAsia="zh-CN"/>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 xml:space="preserve">  </w:t>
      </w:r>
      <w:r>
        <w:rPr>
          <w:rFonts w:hint="eastAsia" w:ascii="方正黑体简体" w:hAnsi="方正黑体简体" w:eastAsia="方正黑体简体" w:cs="方正黑体简体"/>
          <w:b w:val="0"/>
          <w:bCs w:val="0"/>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根据《中国共产党章程》《中华人民共和国宪法》《中华人民共和国监察法》，按照《中共长春市委办公厅长春市人民政府办公厅关于印发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长春市二道区机构改革方案＞的通知》(长斤字201907号)，制定本规定</w:t>
      </w:r>
      <w:r>
        <w:rPr>
          <w:rFonts w:hint="eastAsia" w:ascii="仿宋_GB2312" w:hAnsi="仿宋_GB2312" w:eastAsia="仿宋_GB2312" w:cs="仿宋_GB2312"/>
          <w:sz w:val="32"/>
          <w:szCs w:val="32"/>
          <w:lang w:eastAsia="zh-CN"/>
        </w:rPr>
        <w:t>。</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b w:val="0"/>
          <w:bCs w:val="0"/>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中共长春市二道区纪律</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委员会(以下简称区纪委)是由党的二道区代表大会选举产生，在市纪委和区委双重领导下进行工作;长春市二道区监察委员会(以下简称区监委)由区人民代表大会产生，对区人民代表大会及其常务委员会和长春市监察委员会负责，并接受其监督。区纪委与区监委合署办公，突行一套工作机构、两个机关名称，履行纪检、监察两项职责。在党中央集中统一领导下，在上级纪委监委和区委领导下，区纪委区监委加强对下级纪检监察组织的领导</w:t>
      </w:r>
      <w:r>
        <w:rPr>
          <w:rFonts w:hint="eastAsia" w:ascii="仿宋_GB2312" w:hAnsi="仿宋_GB2312" w:eastAsia="仿宋_GB2312" w:cs="仿宋_GB2312"/>
          <w:sz w:val="32"/>
          <w:szCs w:val="32"/>
          <w:lang w:eastAsia="zh-CN"/>
        </w:rPr>
        <w:t>。</w:t>
      </w:r>
    </w:p>
    <w:p>
      <w:pPr>
        <w:numPr>
          <w:ilvl w:val="0"/>
          <w:numId w:val="0"/>
        </w:numPr>
        <w:tabs>
          <w:tab w:val="left" w:pos="1311"/>
        </w:tabs>
        <w:ind w:firstLine="640" w:firstLineChars="200"/>
        <w:jc w:val="both"/>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区纪委区监委的主要职责是</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负责全区党的纪律</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工作。贯彻落实党中央、中</w:t>
      </w:r>
      <w:r>
        <w:rPr>
          <w:rFonts w:hint="eastAsia" w:ascii="仿宋_GB2312" w:hAnsi="仿宋_GB2312" w:eastAsia="仿宋_GB2312" w:cs="仿宋_GB2312"/>
          <w:sz w:val="32"/>
          <w:szCs w:val="32"/>
          <w:lang w:val="en-US" w:eastAsia="zh-CN"/>
        </w:rPr>
        <w:t>央</w:t>
      </w:r>
      <w:r>
        <w:rPr>
          <w:rFonts w:hint="eastAsia" w:ascii="仿宋_GB2312" w:hAnsi="仿宋_GB2312" w:eastAsia="仿宋_GB2312" w:cs="仿宋_GB2312"/>
          <w:sz w:val="32"/>
          <w:szCs w:val="32"/>
        </w:rPr>
        <w:t>纪委，省委、省纪委，市委、市纪委和区委关于纪律</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工作的决策部署，维护党的章程和其他党内法规，</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党的路线方针政策和决议的执行情况，协助区委推进全面从严治党、加强党风建设和组织协调反腐败工作</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依照党的章程和其他党内法规履行监督、执纪、问责职责。负责经常对全区党员进行遵守纪律的教育，作出关于维护党纪的决定;对区委工作部门、区委批准设立的党(工)委(党组)、纪(工)委等党的组织和区委管理的党员领导干部履行职责、行使权力进行监督，受理处置党员群众检举举报，开展谈话提醒、约谈函询;</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和处理上述党的组织和党员违反党的章程和其他党内法规的比较重要或者复杂的案件，决定或者取消对这些案件中党员的处分;进行问责或者提出责任追究的建议;受理党员的控告和申诉;保障党员的权利</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配合区委巡察工作领导小组，对区委开展的巡察工作进行指导，联系市委巡察工作办公室</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负责全区监察工作。贯彻落实党中央、国家监委、省委、省监委、市委、市监委、区委关于监察工作的决策部署维护宪法法律，依法对区委管理的行使公权力的公职人员进行监察，调查职务违法和职务犯罪，开展廉政建设和反腐败工作。</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依照法律规定履行监督、调查、处置职责。推动开展廉政教育，对区委管理的行使公权力的公职人员依法履职、秉公用权、廉洁从政从业以及道德操守情况进行监督检查，必要时也可对下级党(工)委(党组)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査结果移送人民检察院依法审查、提起公诉;向监察对象所在单位提出监察建议</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负责组织协调全面从严治党、党风廉政建设和反腐败宣传教育工作</w:t>
      </w:r>
      <w:r>
        <w:rPr>
          <w:rFonts w:hint="eastAsia"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负责综合分析全区全面从严治党、党风廉政建设和反腐败工作情况，对纪检监察工作重要理论及实践问题进行调查</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落实纪检监察法规制度工作，参与起草、制定、修改区内相关规范性文件及制度</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负责区委反腐败协调小组办公室工作，组织协调全区反腐败追逃追赃和防逃工作，督促有关单位做好相关工作综合分析全区外逃人员情况，统筹制定全区工作计划</w:t>
      </w:r>
      <w:r>
        <w:rPr>
          <w:rFonts w:hint="eastAsia" w:ascii="仿宋_GB2312" w:hAnsi="仿宋_GB2312" w:eastAsia="仿宋_GB2312" w:cs="仿宋_GB2312"/>
          <w:sz w:val="32"/>
          <w:szCs w:val="32"/>
          <w:lang w:eastAsia="zh-CN"/>
        </w:rPr>
        <w:t>。</w:t>
      </w:r>
    </w:p>
    <w:p>
      <w:pPr>
        <w:numPr>
          <w:ilvl w:val="0"/>
          <w:numId w:val="0"/>
        </w:num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部管理权限，负责全区纪检监察系统领导班子建设、干部队伍建设和组织建设的综合规划、政策</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、制度建设和业务指导;会同有关方面做好区纪委区监委派驻(派出)机构、区委巡察工作办公室领导班子建设有关工作;组织和指导全区纪检监察系统干部教育培训工作</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完成上级纪委监委、区委交办的其他任务。</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b w:val="0"/>
          <w:bCs w:val="0"/>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区纪委区监委机关设下列内设机构</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办公室。负责机关日常运转工作;负责区纪委区监委重要会议、活动的筹备组织;负责与区纪委委员的联系;组织起草区纪委区监委有关文件文稿;督促</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有关工作部署及批办交办事项的落实情况;协调办理区监委向区人大及其常务委员会专项报告工作，联络区人大代表，组织特邀监督员工作负责综合分析全面从严治党、</w:t>
      </w:r>
      <w:r>
        <w:rPr>
          <w:rFonts w:hint="eastAsia" w:ascii="仿宋_GB2312" w:hAnsi="仿宋_GB2312" w:eastAsia="仿宋_GB2312" w:cs="仿宋_GB2312"/>
          <w:sz w:val="32"/>
          <w:szCs w:val="32"/>
          <w:lang w:eastAsia="zh-CN"/>
        </w:rPr>
        <w:t>党风廉政</w:t>
      </w:r>
      <w:bookmarkStart w:id="0" w:name="_GoBack"/>
      <w:bookmarkEnd w:id="0"/>
      <w:r>
        <w:rPr>
          <w:rFonts w:hint="eastAsia" w:ascii="仿宋_GB2312" w:hAnsi="仿宋_GB2312" w:eastAsia="仿宋_GB2312" w:cs="仿宋_GB2312"/>
          <w:sz w:val="32"/>
          <w:szCs w:val="32"/>
        </w:rPr>
        <w:t>建设和反腐败工作情况，开展政策理论及重大课题调査</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;负责委机关后勤管理服务保障、安全保卫、房管基建等工作;负责委机关、区委巡察工作办公室财务管理、国有资产管理、政府采购有关工作负责委机关及派驻机构涉案款物管理工作;负责委机关</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部职工医疗和卫生防疫工作;负责委机关离退休干部工作等</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组织部(纪检监察干部监督室)。根据干部管理权限，负责全区纪检监察系统领导班子建设、干部队伍建设和组织建设的综合规划、政策</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制度建设和业务指导;负责委机关、派驻机构、区委巡察机构干部人事工作;会同有关部门负责区纪委区监委派驻(派出)机构、下级纪检监察组织领导班子成员的提名、考察、任免等干部人事工作;组织和指导全区纪检监察系统干部教育培训工作;会同有关部门承办对全区纪检监察系统干部的表彰、奖励;协调办理区管干部任职前回复区委组织部意见工作;负责监督检查全区纪检监察系统干部遵守和执行党的章程和其他党内法规，遵守和执行党的路线方针政策和决议、国家法律法规等方面的情况;受理对委机关及派驻机构、区委巡察机构干部，区纪委区监委派出机构书记、副书记涉嫌违反党纪、职务违法和职务犯罪等问题的举报，提出处置意见并负责</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题线索初步核实及立案审查调查工作;</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制定关于加强全区纪检监察干部监督的规定等</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宣传部。负责组织协调全面从严治党、党风廉政建设和反腐败宣传教育以及廉洁文化建设工作;负责区纪委区监委的新闻事务和有关网络信息工作;安排区纪委区监委领导班子理论学习中心组活动等。</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党风政风监督室。负责综合协调贯彻执行党的路线方针政策和决议、国家法律法规等情况的监督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综合协调党的政治纪律和政治规矩执行;综合协调贯彻落实中央八项规定精神、纠正“四风”工作;综合协调整治群众身边和扶贫领城的腐败和作风问题;综合协调党内监督、党的问责等方面工作，推动管党治党政治责任落实;综合协调区纪委区监委机关参与调查的事故、事件中涉及的监督对象违纪违法行为和需要责情形的调查处理工作;综合分析党风政风监督工作情况，开展调查硏究，提出工作建议;组织开展党风政风监督专项检查活动;指导全区纪检监察系统的党风政风监督工作等</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信访室。负责受理对党的组织、党员违反党纪行为和对行使公权力的公职人员职务违法、职务犯罪行为等的检举、控告;归口受理对区委管理的党的组织和党员干部违反党纪和区监委管辖范围内的职务违法、职务犯罪行为等的信访举报，统一接收区纪委区监委派驻(派出)机构和下级纪检监察组织报送的相关信访举报，将问题线索类信访举报移交案件监督管理室;受理党员对区纪委作出的党纪处分或者其他处理不服的申诉、监察对象对区监委作出的涉及本人的处理决定不服的复审申请;综合分析信访举报情况;接待群众来访、处理群众来信和电话网络举报事项;承办上级纪委监委交办的信访举报事项;对下级纪检监察组织受理办理信访举报情况进行监督检查，向下级纪检监察组织交办、督办有关检举、控告，审核办理结果等。</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案件监督管理室。负责对监督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、审查调査工作全过程进行监督管理，履行线索管理、组织协调、监督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督促办理、统计分析等职责;统一受理上级交办和区委巡察机构、审计机关、行政执法机关、司法机关及区纪委区监委信访室等移送的相关问题线索，实行集中管理、动态更新、定期汇总核对，提出分办意见移交委机关相关部门;统一受理纪检监察机关监督检查、审查调査过程中发现的应由区纪委区监委处置的相关问题线索;统一受理下级纪检监察机关线索处置和案件查办报告，分送有关部门;归口管理审查调查工作中有关部门的联系协调事项;对调查措施使用情况进行监督管理，监督检查全区纪检监察机关依纪依法安全办案情况;负责区委反腐败协调小组办公室日常工作，组织协调反腐败追逃追赃和防逃工作;规范指导干部廉政档案建设工作，配合办理区管千部任职前回复区委组织部意见工作;负责组织开展外部信息采集、情报研判、电子数据调查、数据平台建设等工作;受理监督检查和审查调查工作的信息查询、数据分析、情报研判等工作负责委机关系统平合搭建、网络建设管理及信息安全，指导全区纪检监察网络信息化建设工作</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第一至第六纪检监察室。主要履行依纪依法监督执纪审査和依法调查处置的职责。监督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区管部门(单位)领导班子及区管干部遵守和执行党的章程和其他党内法规，遵守和执行党的路线方针政策和决议、国家法律法规，推进全面从严治党，依法履职、秉公用权、廉洁从政从业以及道德操守等方面的情况;监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全区各部门(单位)党(工)委(党组)落实管党治党主体责任的情况，指导、检查、督促派驻派出机构及下级纪检监察组织落实纪检、监察责任，实施问责向监察对象所在单位提出监察建议;对问题线索按程序提出处置意见，对相关问题线索进行谈话函询、初步核实及立案审查调查，并提出处理建议</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sz w:val="32"/>
          <w:szCs w:val="32"/>
        </w:rPr>
        <w:t>案件审理室。负责审理委机关直接审查调查和区直各部门党的组织报批或者备案的违反党纪和职务违法、职务犯罪案件，严格依规依纪依法提出处理或者处分意见;按规定审核派驻(派出)机构、下级纪检监察组织报批的案件;承办党员对区纪委作出的党纪处分或者其他处理不服的申诉案件、监察对象对区监委作出的涉及本人的处理决定不服的申请复审案件，以及其他需要由区纪委区监委办理的申诉、复核案件起草案件审理、申诉复查工作的有关程序性规定;负责</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落实纪检监察法规制度工作，参与起草、制定、修改区内相关规范性文件及制度;负责区人大常委会执法检查相关工作的组织迎检、落实整改等工作;负责纪检监察法规制度的咨询答复解释指导评估、备案审查、清理、汇编、编纂等</w:t>
      </w:r>
      <w:r>
        <w:rPr>
          <w:rFonts w:hint="eastAsia" w:ascii="仿宋_GB2312" w:hAnsi="仿宋_GB2312" w:eastAsia="仿宋_GB2312" w:cs="仿宋_GB2312"/>
          <w:sz w:val="32"/>
          <w:szCs w:val="32"/>
          <w:lang w:eastAsia="zh-CN"/>
        </w:rPr>
        <w:t>。</w:t>
      </w:r>
    </w:p>
    <w:p>
      <w:pPr>
        <w:numPr>
          <w:ilvl w:val="0"/>
          <w:numId w:val="0"/>
        </w:numPr>
        <w:ind w:firstLine="643" w:firstLineChars="200"/>
        <w:rPr>
          <w:rFonts w:ascii="宋体" w:cs="Times New Roman"/>
          <w:color w:val="3E3E3E"/>
          <w:kern w:val="0"/>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机关党总支。负责委机关、区委巡察机构的党群工作</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黑体" w:hAnsi="黑体" w:eastAsia="黑体"/>
          <w:sz w:val="32"/>
        </w:rPr>
      </w:pPr>
      <w:r>
        <w:rPr>
          <w:rFonts w:hint="eastAsia" w:ascii="黑体" w:hAnsi="黑体" w:eastAsia="黑体"/>
          <w:sz w:val="32"/>
        </w:rPr>
        <w:t>机构设置及部门决算单位构成</w:t>
      </w:r>
    </w:p>
    <w:p>
      <w:pPr>
        <w:spacing w:line="560" w:lineRule="exact"/>
        <w:ind w:firstLine="640" w:firstLineChars="200"/>
        <w:rPr>
          <w:rFonts w:hint="eastAsia" w:eastAsia="仿宋_GB2312"/>
          <w:kern w:val="0"/>
          <w:sz w:val="32"/>
          <w:szCs w:val="32"/>
          <w:lang w:eastAsia="zh-CN"/>
        </w:rPr>
      </w:pPr>
      <w:r>
        <w:rPr>
          <w:rFonts w:eastAsia="仿宋_GB2312"/>
          <w:sz w:val="32"/>
        </w:rPr>
        <w:t>根据上述职责，</w:t>
      </w:r>
      <w:r>
        <w:rPr>
          <w:rFonts w:eastAsia="仿宋_GB2312"/>
          <w:sz w:val="32"/>
          <w:szCs w:val="30"/>
        </w:rPr>
        <w:t>中国共产党长春市二道区纪律检查委员会</w:t>
      </w:r>
      <w:r>
        <w:rPr>
          <w:rFonts w:eastAsia="仿宋_GB2312"/>
          <w:sz w:val="32"/>
        </w:rPr>
        <w:t>内设</w:t>
      </w:r>
      <w:r>
        <w:rPr>
          <w:rFonts w:hint="eastAsia" w:eastAsia="仿宋_GB2312"/>
          <w:sz w:val="32"/>
          <w:szCs w:val="30"/>
          <w:lang w:val="en-US" w:eastAsia="zh-CN"/>
        </w:rPr>
        <w:t>13</w:t>
      </w:r>
      <w:r>
        <w:rPr>
          <w:rFonts w:eastAsia="仿宋_GB2312"/>
          <w:sz w:val="32"/>
        </w:rPr>
        <w:t>个机构，分别为</w:t>
      </w:r>
      <w:r>
        <w:rPr>
          <w:rFonts w:eastAsia="仿宋_GB2312"/>
          <w:kern w:val="0"/>
          <w:sz w:val="32"/>
          <w:szCs w:val="32"/>
        </w:rPr>
        <w:t>办公室、</w:t>
      </w:r>
      <w:r>
        <w:rPr>
          <w:rFonts w:hint="eastAsia" w:eastAsia="仿宋_GB2312"/>
          <w:kern w:val="0"/>
          <w:sz w:val="32"/>
          <w:szCs w:val="32"/>
          <w:lang w:val="en-US" w:eastAsia="zh-CN"/>
        </w:rPr>
        <w:t>组织部、宣传</w:t>
      </w:r>
      <w:r>
        <w:rPr>
          <w:rFonts w:eastAsia="仿宋_GB2312"/>
          <w:kern w:val="0"/>
          <w:sz w:val="32"/>
          <w:szCs w:val="32"/>
        </w:rPr>
        <w:t>部、党风政风监督室、信访室、第一纪检监察室、第二纪检监察室、第三纪检监察室、第</w:t>
      </w:r>
      <w:r>
        <w:rPr>
          <w:rFonts w:hint="eastAsia" w:eastAsia="仿宋_GB2312"/>
          <w:kern w:val="0"/>
          <w:sz w:val="32"/>
          <w:szCs w:val="32"/>
        </w:rPr>
        <w:t>四</w:t>
      </w:r>
      <w:r>
        <w:rPr>
          <w:rFonts w:eastAsia="仿宋_GB2312"/>
          <w:kern w:val="0"/>
          <w:sz w:val="32"/>
          <w:szCs w:val="32"/>
        </w:rPr>
        <w:t>纪检监察室、第</w:t>
      </w:r>
      <w:r>
        <w:rPr>
          <w:rFonts w:hint="eastAsia" w:eastAsia="仿宋_GB2312"/>
          <w:kern w:val="0"/>
          <w:sz w:val="32"/>
          <w:szCs w:val="32"/>
        </w:rPr>
        <w:t>五</w:t>
      </w:r>
      <w:r>
        <w:rPr>
          <w:rFonts w:eastAsia="仿宋_GB2312"/>
          <w:kern w:val="0"/>
          <w:sz w:val="32"/>
          <w:szCs w:val="32"/>
        </w:rPr>
        <w:t>纪检监察室、第</w:t>
      </w:r>
      <w:r>
        <w:rPr>
          <w:rFonts w:hint="eastAsia" w:eastAsia="仿宋_GB2312"/>
          <w:kern w:val="0"/>
          <w:sz w:val="32"/>
          <w:szCs w:val="32"/>
        </w:rPr>
        <w:t>六</w:t>
      </w:r>
      <w:r>
        <w:rPr>
          <w:rFonts w:eastAsia="仿宋_GB2312"/>
          <w:kern w:val="0"/>
          <w:sz w:val="32"/>
          <w:szCs w:val="32"/>
        </w:rPr>
        <w:t>纪检监察室</w:t>
      </w:r>
      <w:r>
        <w:rPr>
          <w:rFonts w:hint="eastAsia" w:eastAsia="仿宋_GB2312"/>
          <w:kern w:val="0"/>
          <w:sz w:val="32"/>
          <w:szCs w:val="32"/>
        </w:rPr>
        <w:t>、</w:t>
      </w:r>
      <w:r>
        <w:rPr>
          <w:rFonts w:eastAsia="仿宋_GB2312"/>
          <w:kern w:val="0"/>
          <w:sz w:val="32"/>
          <w:szCs w:val="32"/>
        </w:rPr>
        <w:t>审理室</w:t>
      </w:r>
      <w:r>
        <w:rPr>
          <w:rFonts w:hint="eastAsia" w:eastAsia="仿宋_GB2312"/>
          <w:kern w:val="0"/>
          <w:sz w:val="32"/>
          <w:szCs w:val="32"/>
        </w:rPr>
        <w:t>、案管室</w:t>
      </w:r>
      <w:r>
        <w:rPr>
          <w:rFonts w:hint="eastAsia" w:eastAsia="仿宋_GB2312"/>
          <w:kern w:val="0"/>
          <w:sz w:val="32"/>
          <w:szCs w:val="32"/>
          <w:lang w:eastAsia="zh-CN"/>
        </w:rPr>
        <w:t>。</w:t>
      </w:r>
    </w:p>
    <w:p>
      <w:pPr>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以及机关党总支。</w:t>
      </w:r>
    </w:p>
    <w:p>
      <w:pPr>
        <w:spacing w:line="560" w:lineRule="exact"/>
        <w:ind w:firstLine="640" w:firstLineChars="200"/>
        <w:rPr>
          <w:rFonts w:eastAsia="仿宋_GB2312"/>
          <w:sz w:val="32"/>
        </w:rPr>
      </w:pPr>
      <w:r>
        <w:rPr>
          <w:rFonts w:eastAsia="仿宋_GB2312"/>
          <w:sz w:val="32"/>
        </w:rPr>
        <w:t>纳入</w:t>
      </w:r>
      <w:r>
        <w:rPr>
          <w:rFonts w:eastAsia="仿宋_GB2312"/>
          <w:sz w:val="32"/>
          <w:szCs w:val="30"/>
        </w:rPr>
        <w:t>中国共产党长春市二道区纪律检查委员会</w:t>
      </w:r>
      <w:r>
        <w:rPr>
          <w:rFonts w:hint="eastAsia" w:eastAsia="仿宋_GB2312"/>
          <w:sz w:val="32"/>
          <w:lang w:val="en-US" w:eastAsia="zh-CN"/>
        </w:rPr>
        <w:t>2023</w:t>
      </w:r>
      <w:r>
        <w:rPr>
          <w:rFonts w:eastAsia="仿宋_GB2312"/>
          <w:sz w:val="32"/>
        </w:rPr>
        <w:t>年度部门决算编制范围的单位包括：</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szCs w:val="30"/>
        </w:rPr>
        <w:t>中国共产党长春市二道区纪律检查委员会</w:t>
      </w:r>
    </w:p>
    <w:p>
      <w:pPr>
        <w:widowControl/>
        <w:spacing w:before="100" w:beforeAutospacing="1" w:after="100" w:afterAutospacing="1" w:line="360" w:lineRule="auto"/>
        <w:ind w:firstLine="640" w:firstLineChars="200"/>
        <w:jc w:val="left"/>
        <w:rPr>
          <w:rFonts w:hint="eastAsia" w:ascii="黑体" w:hAnsi="黑体" w:eastAsia="黑体" w:cs="黑体"/>
          <w:sz w:val="32"/>
          <w:szCs w:val="32"/>
        </w:rPr>
      </w:pPr>
      <w:r>
        <w:rPr>
          <w:rFonts w:hint="eastAsia" w:ascii="仿宋_GB2312" w:hAnsi="仿宋_GB2312" w:eastAsia="仿宋_GB2312" w:cs="仿宋_GB2312"/>
          <w:sz w:val="32"/>
          <w:lang w:val="en-US" w:eastAsia="zh-CN"/>
        </w:rPr>
        <w:t>2023</w:t>
      </w:r>
      <w:r>
        <w:rPr>
          <w:rFonts w:hint="eastAsia" w:ascii="仿宋_GB2312" w:hAnsi="仿宋_GB2312" w:eastAsia="仿宋_GB2312" w:cs="仿宋_GB2312"/>
          <w:sz w:val="32"/>
        </w:rPr>
        <w:t>年实有人员</w:t>
      </w:r>
      <w:r>
        <w:rPr>
          <w:rFonts w:hint="eastAsia" w:ascii="仿宋_GB2312" w:hAnsi="仿宋_GB2312" w:eastAsia="仿宋_GB2312" w:cs="仿宋_GB2312"/>
          <w:sz w:val="32"/>
          <w:lang w:val="en-US" w:eastAsia="zh-CN"/>
        </w:rPr>
        <w:t>77</w:t>
      </w:r>
      <w:r>
        <w:rPr>
          <w:rFonts w:hint="eastAsia" w:ascii="仿宋_GB2312" w:hAnsi="仿宋_GB2312" w:eastAsia="仿宋_GB2312" w:cs="仿宋_GB2312"/>
          <w:sz w:val="32"/>
        </w:rPr>
        <w:t>人，其中：在职人员</w:t>
      </w:r>
      <w:r>
        <w:rPr>
          <w:rFonts w:hint="eastAsia" w:ascii="仿宋_GB2312" w:hAnsi="仿宋_GB2312" w:eastAsia="仿宋_GB2312" w:cs="仿宋_GB2312"/>
          <w:sz w:val="32"/>
          <w:lang w:val="en-US" w:eastAsia="zh-CN"/>
        </w:rPr>
        <w:t>64</w:t>
      </w:r>
      <w:r>
        <w:rPr>
          <w:rFonts w:hint="eastAsia" w:ascii="仿宋_GB2312" w:hAnsi="仿宋_GB2312" w:eastAsia="仿宋_GB2312" w:cs="仿宋_GB2312"/>
          <w:sz w:val="32"/>
        </w:rPr>
        <w:t>人，离退休人员</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人。</w:t>
      </w:r>
      <w:r>
        <w:rPr>
          <w:rFonts w:hint="eastAsia" w:ascii="仿宋_GB2312" w:hAnsi="仿宋_GB2312" w:eastAsia="仿宋_GB2312" w:cs="仿宋_GB2312"/>
          <w:color w:val="3E3E3E"/>
          <w:kern w:val="0"/>
          <w:sz w:val="32"/>
          <w:szCs w:val="32"/>
        </w:rPr>
        <w:t xml:space="preserve"> </w:t>
      </w: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r>
        <w:rPr>
          <w:rFonts w:hint="eastAsia" w:ascii="宋体" w:hAnsi="宋体" w:cs="宋体"/>
          <w:color w:val="3E3E3E"/>
          <w:kern w:val="0"/>
          <w:sz w:val="32"/>
          <w:szCs w:val="32"/>
        </w:rPr>
        <w:pict>
          <v:shape id="_x0000_i1025" o:spt="75" alt="6%~SG}KRJY_Q6Y7Z`YESHGR" type="#_x0000_t75" style="height:156.65pt;width:414.75pt;" filled="f" o:preferrelative="t" stroked="f" coordsize="21600,21600">
            <v:path/>
            <v:fill on="f" focussize="0,0"/>
            <v:stroke on="f"/>
            <v:imagedata r:id="rId4" o:title="6%~SG}KRJY_Q6Y7Z`YESHGR"/>
            <o:lock v:ext="edit" aspectratio="t"/>
            <w10:wrap type="none"/>
            <w10:anchorlock/>
          </v:shape>
        </w:pict>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r>
        <w:rPr>
          <w:rFonts w:hint="eastAsia" w:ascii="宋体" w:eastAsia="宋体" w:cs="Times New Roman"/>
          <w:color w:val="3E3E3E"/>
          <w:kern w:val="0"/>
          <w:sz w:val="32"/>
          <w:szCs w:val="32"/>
          <w:lang w:eastAsia="zh-CN"/>
        </w:rPr>
        <w:pict>
          <v:shape id="_x0000_i1026" o:spt="75" alt=")F3$)N4M]T3}82UH]O4RY55" type="#_x0000_t75" style="height:147.15pt;width:415.05pt;" filled="f" o:preferrelative="t" stroked="f" coordsize="21600,21600">
            <v:path/>
            <v:fill on="f" focussize="0,0"/>
            <v:stroke on="f"/>
            <v:imagedata r:id="rId5" o:title=")F3$)N4M]T3}82UH]O4RY55"/>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eastAsia="宋体" w:cs="Times New Roman"/>
          <w:color w:val="3E3E3E"/>
          <w:kern w:val="0"/>
          <w:sz w:val="32"/>
          <w:szCs w:val="32"/>
          <w:lang w:eastAsia="zh-CN"/>
        </w:rPr>
        <w:pict>
          <v:shape id="_x0000_i1027" o:spt="75" alt="B{{M9V4IB5XY1LMLRZT`04M" type="#_x0000_t75" style="height:282.05pt;width:414.95pt;" filled="f" o:preferrelative="t" stroked="f" coordsize="21600,21600">
            <v:path/>
            <v:fill on="f" focussize="0,0"/>
            <v:stroke on="f"/>
            <v:imagedata r:id="rId6" o:title="B{{M9V4IB5XY1LMLRZT`04M"/>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eastAsia="宋体" w:cs="Times New Roman"/>
          <w:color w:val="3E3E3E"/>
          <w:kern w:val="0"/>
          <w:sz w:val="32"/>
          <w:szCs w:val="32"/>
          <w:lang w:eastAsia="zh-CN"/>
        </w:rPr>
        <w:pict>
          <v:shape id="_x0000_i1028" o:spt="75" alt="Z5%J(F~5741]N371PH%8T`X" type="#_x0000_t75" style="height:310.5pt;width:396pt;" filled="f" o:preferrelative="t" stroked="f" coordsize="21600,21600">
            <v:path/>
            <v:fill on="f" focussize="0,0"/>
            <v:stroke on="f"/>
            <v:imagedata r:id="rId7" o:title="Z5%J(F~5741]N371PH%8T`X"/>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r>
        <w:rPr>
          <w:rFonts w:hint="eastAsia" w:ascii="宋体" w:eastAsia="宋体" w:cs="Times New Roman"/>
          <w:color w:val="3E3E3E"/>
          <w:kern w:val="0"/>
          <w:sz w:val="32"/>
          <w:szCs w:val="32"/>
          <w:lang w:eastAsia="zh-CN"/>
        </w:rPr>
        <w:pict>
          <v:shape id="_x0000_i1029" o:spt="75" alt="4ZL7HH[E_G5U6U0SXI3[%_O" type="#_x0000_t75" style="height:217.4pt;width:415.1pt;" filled="f" o:preferrelative="t" stroked="f" coordsize="21600,21600">
            <v:path/>
            <v:fill on="f" focussize="0,0"/>
            <v:stroke on="f"/>
            <v:imagedata r:id="rId8" o:title="4ZL7HH[E_G5U6U0SXI3[%_O"/>
            <o:lock v:ext="edit" aspectratio="t"/>
            <w10:wrap type="none"/>
            <w10:anchorlock/>
          </v:shape>
        </w:pict>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eastAsia="宋体" w:cs="Times New Roman"/>
          <w:color w:val="3E3E3E"/>
          <w:kern w:val="0"/>
          <w:sz w:val="32"/>
          <w:szCs w:val="32"/>
          <w:lang w:eastAsia="zh-CN"/>
        </w:rPr>
        <w:pict>
          <v:shape id="_x0000_i1030" o:spt="75" alt="4D[R[VC%IS}P[6`3}}`X%1P" type="#_x0000_t75" style="height:264.7pt;width:414.85pt;" filled="f" o:preferrelative="t" stroked="f" coordsize="21600,21600">
            <v:path/>
            <v:fill on="f" focussize="0,0"/>
            <v:stroke on="f"/>
            <v:imagedata r:id="rId9" o:title="4D[R[VC%IS}P[6`3}}`X%1P"/>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p>
    <w:p>
      <w:pPr>
        <w:spacing w:line="360" w:lineRule="auto"/>
        <w:ind w:firstLine="360"/>
        <w:jc w:val="left"/>
        <w:rPr>
          <w:rFonts w:hint="eastAsia" w:ascii="宋体" w:eastAsia="宋体" w:cs="Times New Roman"/>
          <w:color w:val="3E3E3E"/>
          <w:kern w:val="0"/>
          <w:sz w:val="32"/>
          <w:szCs w:val="32"/>
          <w:lang w:eastAsia="zh-CN"/>
        </w:rPr>
      </w:pPr>
      <w:r>
        <w:rPr>
          <w:rFonts w:hint="eastAsia" w:ascii="宋体" w:eastAsia="宋体" w:cs="Times New Roman"/>
          <w:color w:val="3E3E3E"/>
          <w:kern w:val="0"/>
          <w:sz w:val="32"/>
          <w:szCs w:val="32"/>
          <w:lang w:eastAsia="zh-CN"/>
        </w:rPr>
        <w:pict>
          <v:shape id="_x0000_i1031" o:spt="75" alt="{I64NA~I76R7IJ0CH30YW%1" type="#_x0000_t75" style="height:161.4pt;width:415pt;" filled="f" o:preferrelative="t" stroked="f" coordsize="21600,21600">
            <v:path/>
            <v:fill on="f" focussize="0,0"/>
            <v:stroke on="f"/>
            <v:imagedata r:id="rId10" o:title="{I64NA~I76R7IJ0CH30YW%1"/>
            <o:lock v:ext="edit" aspectratio="t"/>
            <w10:wrap type="none"/>
            <w10:anchorlock/>
          </v:shape>
        </w:pic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hint="eastAsia" w:ascii="宋体" w:eastAsia="宋体" w:cs="Times New Roman"/>
          <w:color w:val="3E3E3E"/>
          <w:kern w:val="0"/>
          <w:sz w:val="32"/>
          <w:szCs w:val="32"/>
          <w:lang w:eastAsia="zh-CN"/>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r>
        <w:rPr>
          <w:rFonts w:hint="eastAsia" w:ascii="宋体" w:eastAsia="宋体" w:cs="Times New Roman"/>
          <w:color w:val="3E3E3E"/>
          <w:kern w:val="0"/>
          <w:sz w:val="32"/>
          <w:szCs w:val="32"/>
          <w:lang w:eastAsia="zh-CN"/>
        </w:rPr>
        <w:pict>
          <v:shape id="_x0000_i1032" o:spt="75" alt="1RBGU9W[BZWH9~R96GPOC$U" type="#_x0000_t75" style="height:184.5pt;width:415.2pt;" filled="f" o:preferrelative="t" stroked="f" coordsize="21600,21600">
            <v:path/>
            <v:fill on="f" focussize="0,0"/>
            <v:stroke on="f"/>
            <v:imagedata r:id="rId11" o:title="1RBGU9W[BZWH9~R96GPOC$U"/>
            <o:lock v:ext="edit" aspectratio="t"/>
            <w10:wrap type="none"/>
            <w10:anchorlock/>
          </v:shape>
        </w:pic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autoSpaceDE w:val="0"/>
        <w:autoSpaceDN w:val="0"/>
        <w:adjustRightInd w:val="0"/>
        <w:ind w:firstLine="640" w:firstLineChars="200"/>
        <w:rPr>
          <w:rFonts w:hint="eastAsia" w:ascii="仿宋_GB2312" w:hAnsi="仿宋_GB2312" w:eastAsia="仿宋_GB2312" w:cs="仿宋_GB2312"/>
          <w:color w:val="3E3E3E"/>
          <w:kern w:val="0"/>
          <w:sz w:val="32"/>
          <w:szCs w:val="32"/>
        </w:rPr>
      </w:pPr>
      <w:r>
        <w:rPr>
          <w:rFonts w:ascii="宋体" w:hAnsi="宋体" w:cs="宋体"/>
          <w:color w:val="3E3E3E"/>
          <w:kern w:val="0"/>
          <w:sz w:val="32"/>
          <w:szCs w:val="32"/>
        </w:rPr>
        <w:t xml:space="preserve">   </w:t>
      </w:r>
      <w:r>
        <w:rPr>
          <w:rFonts w:hint="eastAsia" w:ascii="仿宋_GB2312" w:hAnsi="仿宋_GB2312" w:eastAsia="仿宋_GB2312" w:cs="仿宋_GB2312"/>
          <w:color w:val="3E3E3E"/>
          <w:kern w:val="0"/>
          <w:sz w:val="32"/>
          <w:szCs w:val="32"/>
          <w:lang w:val="en-US" w:eastAsia="zh-CN"/>
        </w:rPr>
        <w:t>2023</w:t>
      </w:r>
      <w:r>
        <w:rPr>
          <w:rFonts w:hint="eastAsia" w:ascii="仿宋_GB2312" w:hAnsi="仿宋_GB2312" w:eastAsia="仿宋_GB2312" w:cs="仿宋_GB2312"/>
          <w:color w:val="3E3E3E"/>
          <w:kern w:val="0"/>
          <w:sz w:val="32"/>
          <w:szCs w:val="32"/>
        </w:rPr>
        <w:t>年财政拨款</w:t>
      </w:r>
      <w:r>
        <w:rPr>
          <w:rFonts w:hint="eastAsia" w:ascii="仿宋_GB2312" w:hAnsi="仿宋_GB2312" w:eastAsia="仿宋_GB2312" w:cs="仿宋_GB2312"/>
          <w:color w:val="3E3E3E"/>
          <w:kern w:val="0"/>
          <w:sz w:val="32"/>
          <w:szCs w:val="32"/>
          <w:lang w:val="en-US" w:eastAsia="zh-CN"/>
        </w:rPr>
        <w:t>2364.07</w:t>
      </w:r>
      <w:r>
        <w:rPr>
          <w:rFonts w:hint="eastAsia" w:ascii="仿宋_GB2312" w:hAnsi="仿宋_GB2312" w:eastAsia="仿宋_GB2312" w:cs="仿宋_GB2312"/>
          <w:color w:val="3E3E3E"/>
          <w:kern w:val="0"/>
          <w:sz w:val="32"/>
          <w:szCs w:val="32"/>
        </w:rPr>
        <w:t>万元,收入合计</w:t>
      </w:r>
      <w:r>
        <w:rPr>
          <w:rFonts w:hint="eastAsia" w:ascii="仿宋_GB2312" w:hAnsi="仿宋_GB2312" w:eastAsia="仿宋_GB2312" w:cs="仿宋_GB2312"/>
          <w:color w:val="3E3E3E"/>
          <w:kern w:val="0"/>
          <w:sz w:val="32"/>
          <w:szCs w:val="32"/>
          <w:lang w:val="en-US" w:eastAsia="zh-CN"/>
        </w:rPr>
        <w:t>2364.07</w:t>
      </w:r>
      <w:r>
        <w:rPr>
          <w:rFonts w:hint="eastAsia" w:ascii="仿宋_GB2312" w:hAnsi="仿宋_GB2312" w:eastAsia="仿宋_GB2312" w:cs="仿宋_GB2312"/>
          <w:color w:val="3E3E3E"/>
          <w:kern w:val="0"/>
          <w:sz w:val="32"/>
          <w:szCs w:val="32"/>
        </w:rPr>
        <w:t>万元</w:t>
      </w:r>
      <w:r>
        <w:rPr>
          <w:rFonts w:hint="eastAsia" w:ascii="仿宋_GB2312" w:hAnsi="仿宋_GB2312" w:eastAsia="仿宋_GB2312" w:cs="仿宋_GB2312"/>
          <w:color w:val="3E3E3E"/>
          <w:kern w:val="0"/>
          <w:sz w:val="32"/>
          <w:szCs w:val="32"/>
          <w:lang w:eastAsia="zh-CN"/>
        </w:rPr>
        <w:t>。</w:t>
      </w:r>
      <w:r>
        <w:rPr>
          <w:rFonts w:hint="eastAsia" w:ascii="仿宋_GB2312" w:hAnsi="仿宋_GB2312" w:eastAsia="仿宋_GB2312" w:cs="仿宋_GB2312"/>
          <w:color w:val="3E3E3E"/>
          <w:kern w:val="0"/>
          <w:sz w:val="32"/>
          <w:szCs w:val="32"/>
          <w:lang w:val="en-US" w:eastAsia="zh-CN"/>
        </w:rPr>
        <w:t>2022</w:t>
      </w:r>
      <w:r>
        <w:rPr>
          <w:rFonts w:hint="eastAsia" w:ascii="仿宋_GB2312" w:hAnsi="仿宋_GB2312" w:eastAsia="仿宋_GB2312" w:cs="仿宋_GB2312"/>
          <w:color w:val="3E3E3E"/>
          <w:kern w:val="0"/>
          <w:sz w:val="32"/>
          <w:szCs w:val="32"/>
        </w:rPr>
        <w:t>年财政预算支出</w:t>
      </w:r>
      <w:r>
        <w:rPr>
          <w:rFonts w:hint="eastAsia" w:ascii="仿宋_GB2312" w:hAnsi="仿宋_GB2312" w:eastAsia="仿宋_GB2312" w:cs="仿宋_GB2312"/>
          <w:color w:val="3E3E3E"/>
          <w:kern w:val="0"/>
          <w:sz w:val="32"/>
          <w:szCs w:val="32"/>
          <w:lang w:val="en-US" w:eastAsia="zh-CN"/>
        </w:rPr>
        <w:t>2364.07</w:t>
      </w:r>
      <w:r>
        <w:rPr>
          <w:rFonts w:hint="eastAsia" w:ascii="仿宋_GB2312" w:hAnsi="仿宋_GB2312" w:eastAsia="仿宋_GB2312" w:cs="仿宋_GB2312"/>
          <w:color w:val="3E3E3E"/>
          <w:kern w:val="0"/>
          <w:sz w:val="32"/>
          <w:szCs w:val="32"/>
        </w:rPr>
        <w:t>万元，其中，基本支出</w:t>
      </w:r>
      <w:r>
        <w:rPr>
          <w:rFonts w:hint="eastAsia" w:ascii="仿宋_GB2312" w:hAnsi="仿宋_GB2312" w:eastAsia="仿宋_GB2312" w:cs="仿宋_GB2312"/>
          <w:color w:val="3E3E3E"/>
          <w:kern w:val="0"/>
          <w:sz w:val="32"/>
          <w:szCs w:val="32"/>
          <w:lang w:val="en-US" w:eastAsia="zh-CN"/>
        </w:rPr>
        <w:t>1480.47</w:t>
      </w:r>
      <w:r>
        <w:rPr>
          <w:rFonts w:hint="eastAsia" w:ascii="仿宋_GB2312" w:hAnsi="仿宋_GB2312" w:eastAsia="仿宋_GB2312" w:cs="仿宋_GB2312"/>
          <w:color w:val="3E3E3E"/>
          <w:kern w:val="0"/>
          <w:sz w:val="32"/>
          <w:szCs w:val="32"/>
        </w:rPr>
        <w:t>万元，项目支出</w:t>
      </w:r>
      <w:r>
        <w:rPr>
          <w:rFonts w:hint="eastAsia" w:ascii="仿宋_GB2312" w:hAnsi="仿宋_GB2312" w:eastAsia="仿宋_GB2312" w:cs="仿宋_GB2312"/>
          <w:color w:val="3E3E3E"/>
          <w:kern w:val="0"/>
          <w:sz w:val="32"/>
          <w:szCs w:val="32"/>
          <w:lang w:val="en-US" w:eastAsia="zh-CN"/>
        </w:rPr>
        <w:t>883.6</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autoSpaceDE w:val="0"/>
        <w:autoSpaceDN w:val="0"/>
        <w:adjustRightInd w:val="0"/>
        <w:ind w:firstLine="640" w:firstLineChars="200"/>
        <w:rPr>
          <w:rFonts w:hint="eastAsia" w:ascii="楷体_GB2312" w:hAnsi="楷体_GB2312" w:eastAsia="楷体_GB2312" w:cs="楷体_GB2312"/>
          <w:color w:val="3E3E3E"/>
          <w:kern w:val="0"/>
          <w:sz w:val="32"/>
          <w:szCs w:val="32"/>
        </w:rPr>
      </w:pPr>
      <w:r>
        <w:rPr>
          <w:rFonts w:hint="eastAsia" w:ascii="仿宋_GB2312" w:hAnsi="仿宋_GB2312" w:eastAsia="仿宋_GB2312" w:cs="仿宋_GB2312"/>
          <w:color w:val="3E3E3E"/>
          <w:kern w:val="0"/>
          <w:sz w:val="32"/>
          <w:szCs w:val="32"/>
          <w:lang w:val="en-US" w:eastAsia="zh-CN"/>
        </w:rPr>
        <w:t>人员支出1144.76万元,公用支出335.71万元,项目支出883.6万元。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1117.56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362.91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1480.47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hint="default" w:ascii="宋体" w:cs="Times New Roman"/>
          <w:color w:val="3E3E3E"/>
          <w:kern w:val="0"/>
          <w:sz w:val="32"/>
          <w:szCs w:val="32"/>
          <w:lang w:val="en-US"/>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lang w:val="en-US" w:eastAsia="zh-CN"/>
        </w:rPr>
        <w:t>2023年“三公”经费预算数31.56万元，与2022年相比未产生变化。</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widowControl/>
        <w:spacing w:before="100" w:beforeAutospacing="1" w:after="100" w:afterAutospacing="1" w:line="360" w:lineRule="auto"/>
        <w:ind w:left="319" w:leftChars="152" w:firstLine="652" w:firstLineChars="204"/>
        <w:jc w:val="left"/>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2023年没有政府性基金项目。</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2023年总收入2364.07万元，其中财政拨款2364.07万元。一般公共服务支出2364.07万元。</w:t>
      </w:r>
    </w:p>
    <w:p>
      <w:pPr>
        <w:autoSpaceDE w:val="0"/>
        <w:autoSpaceDN w:val="0"/>
        <w:adjustRightInd w:val="0"/>
        <w:ind w:firstLine="640" w:firstLineChars="200"/>
        <w:rPr>
          <w:rFonts w:ascii="宋体" w:cs="Times New Roman"/>
          <w:color w:val="3E3E3E"/>
          <w:kern w:val="0"/>
          <w:sz w:val="32"/>
          <w:szCs w:val="32"/>
        </w:rPr>
      </w:pP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2023年总收入2364.07万元，其中财政拨款2364.07万元。一般公共服务支出2364.07万元。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widowControl/>
        <w:spacing w:before="100" w:beforeAutospacing="1" w:after="100" w:afterAutospacing="1" w:line="360" w:lineRule="auto"/>
        <w:ind w:firstLine="640" w:firstLineChars="200"/>
        <w:jc w:val="left"/>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按功能分类：一般公共服务支出2364.07万元。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仿宋_GB2312" w:hAnsi="仿宋_GB2312" w:eastAsia="仿宋_GB2312" w:cs="仿宋_GB2312"/>
          <w:color w:val="3E3E3E"/>
          <w:kern w:val="0"/>
          <w:sz w:val="32"/>
          <w:szCs w:val="32"/>
          <w:lang w:val="en-US" w:eastAsia="zh-CN"/>
        </w:rPr>
        <w:t>科目分类：基本支出1480.47万元，项目支出883.6万元。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widowControl/>
        <w:spacing w:before="100" w:beforeAutospacing="1" w:after="100" w:afterAutospacing="1" w:line="360" w:lineRule="auto"/>
        <w:ind w:firstLine="640" w:firstLineChars="200"/>
        <w:jc w:val="left"/>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2023年二道区纪委机关运行经费财政拨款支出362.91万元，其中商品和服务支出362.91万元。</w:t>
      </w:r>
    </w:p>
    <w:p>
      <w:pPr>
        <w:widowControl/>
        <w:spacing w:before="100" w:beforeAutospacing="1" w:after="100" w:afterAutospacing="1" w:line="360" w:lineRule="auto"/>
        <w:ind w:firstLine="640" w:firstLineChars="200"/>
        <w:jc w:val="left"/>
        <w:rPr>
          <w:rFonts w:hint="eastAsia" w:ascii="宋体" w:hAnsi="宋体" w:cs="宋体"/>
          <w:b/>
          <w:bCs/>
          <w:color w:val="3E3E3E"/>
          <w:kern w:val="0"/>
          <w:sz w:val="32"/>
          <w:szCs w:val="32"/>
        </w:rPr>
      </w:pPr>
      <w:r>
        <w:rPr>
          <w:rFonts w:ascii="宋体" w:hAnsi="宋体" w:cs="宋体"/>
          <w:sz w:val="32"/>
          <w:szCs w:val="32"/>
        </w:rPr>
        <w:t xml:space="preserve">   </w:t>
      </w:r>
      <w:r>
        <w:rPr>
          <w:rFonts w:hint="eastAsia" w:ascii="宋体" w:hAnsi="宋体" w:cs="宋体"/>
          <w:b/>
          <w:bCs/>
          <w:color w:val="3E3E3E"/>
          <w:kern w:val="0"/>
          <w:sz w:val="32"/>
          <w:szCs w:val="32"/>
        </w:rPr>
        <w:t>十、国有资产占用情况</w:t>
      </w:r>
    </w:p>
    <w:p>
      <w:pPr>
        <w:autoSpaceDE w:val="0"/>
        <w:autoSpaceDN w:val="0"/>
        <w:adjustRightInd w:val="0"/>
        <w:ind w:firstLine="960" w:firstLineChars="300"/>
        <w:rPr>
          <w:rFonts w:hint="eastAsia" w:ascii="仿宋_GB2312" w:hAnsi="仿宋_GB2312" w:eastAsia="仿宋_GB2312" w:cs="仿宋_GB2312"/>
          <w:color w:val="3E3E3E"/>
          <w:kern w:val="0"/>
          <w:sz w:val="32"/>
          <w:szCs w:val="32"/>
          <w:lang w:val="en-US" w:eastAsia="zh-CN"/>
        </w:rPr>
      </w:pPr>
      <w:r>
        <w:rPr>
          <w:rFonts w:hint="eastAsia" w:ascii="仿宋_GB2312" w:hAnsi="仿宋_GB2312" w:eastAsia="仿宋_GB2312" w:cs="仿宋_GB2312"/>
          <w:color w:val="3E3E3E"/>
          <w:kern w:val="0"/>
          <w:sz w:val="32"/>
          <w:szCs w:val="32"/>
          <w:lang w:val="en-US" w:eastAsia="zh-CN"/>
        </w:rPr>
        <w:t>2023年二道区纪委共有车辆12辆。</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二</w:t>
      </w:r>
      <w:r>
        <w:rPr>
          <w:rFonts w:hint="eastAsia" w:ascii="宋体" w:hAnsi="宋体" w:cs="宋体"/>
          <w:kern w:val="0"/>
          <w:sz w:val="32"/>
          <w:szCs w:val="32"/>
        </w:rPr>
        <w:t>、其他收入：指除上述“财政拨款收入”、“事业收入”、“事业单位经营收入”等以外的收入。主要是按规定动用的售房收入、存款利息收入等。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三</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四</w:t>
      </w:r>
      <w:r>
        <w:rPr>
          <w:rFonts w:hint="eastAsia" w:ascii="宋体" w:hAnsi="宋体" w:cs="宋体"/>
          <w:kern w:val="0"/>
          <w:sz w:val="32"/>
          <w:szCs w:val="32"/>
        </w:rPr>
        <w:t>、项目支出：指在基本支出之外为完成特定行政任务和事业发展目标所发生的支出。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五</w:t>
      </w:r>
      <w:r>
        <w:rPr>
          <w:rFonts w:hint="eastAsia" w:ascii="宋体" w:hAnsi="宋体" w:cs="宋体"/>
          <w:kern w:val="0"/>
          <w:sz w:val="32"/>
          <w:szCs w:val="32"/>
        </w:rPr>
        <w:t>、住房公积金（科目代码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六</w:t>
      </w:r>
      <w:r>
        <w:rPr>
          <w:rFonts w:hint="eastAsia" w:ascii="宋体" w:hAnsi="宋体" w:cs="宋体"/>
          <w:kern w:val="0"/>
          <w:sz w:val="32"/>
          <w:szCs w:val="32"/>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val="en-US" w:eastAsia="zh-CN"/>
        </w:rPr>
        <w:t>七</w:t>
      </w:r>
      <w:r>
        <w:rPr>
          <w:rFonts w:hint="eastAsia" w:ascii="宋体" w:hAnsi="宋体" w:cs="宋体"/>
          <w:kern w:val="0"/>
          <w:sz w:val="32"/>
          <w:szCs w:val="32"/>
        </w:rPr>
        <w:t>、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1A2F5"/>
    <w:multiLevelType w:val="singleLevel"/>
    <w:tmpl w:val="5981A2F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yMTYxZDkxYzJlMGI4NTM4ODRjODkzNjliOTRkNj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36B0A6F"/>
    <w:rsid w:val="05A74865"/>
    <w:rsid w:val="0DAF1AF0"/>
    <w:rsid w:val="22057A5E"/>
    <w:rsid w:val="254C2FF9"/>
    <w:rsid w:val="33A16F2C"/>
    <w:rsid w:val="3AFF7434"/>
    <w:rsid w:val="424F1455"/>
    <w:rsid w:val="441428C6"/>
    <w:rsid w:val="45672572"/>
    <w:rsid w:val="4D0D4C3E"/>
    <w:rsid w:val="51444915"/>
    <w:rsid w:val="53C42C27"/>
    <w:rsid w:val="56382C23"/>
    <w:rsid w:val="5E5C6BAC"/>
    <w:rsid w:val="67226E55"/>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5830</Words>
  <Characters>6098</Characters>
  <Lines>0</Lines>
  <Paragraphs>0</Paragraphs>
  <TotalTime>4</TotalTime>
  <ScaleCrop>false</ScaleCrop>
  <LinksUpToDate>false</LinksUpToDate>
  <CharactersWithSpaces>6188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甜片</cp:lastModifiedBy>
  <dcterms:modified xsi:type="dcterms:W3CDTF">2023-12-20T09:01:46Z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B7B97C2EAC2442F38F40ECBF420A553F</vt:lpwstr>
  </property>
</Properties>
</file>