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年处理100万吨建筑垃圾及年产150万吨新型建筑材料项目</w:t>
      </w:r>
    </w:p>
    <w:p>
      <w:pPr>
        <w:jc w:val="center"/>
        <w:rPr>
          <w:rFonts w:hint="eastAsia" w:ascii="宋体" w:hAnsi="宋体" w:eastAsia="宋体" w:cs="宋体"/>
          <w:b/>
          <w:bCs/>
          <w:sz w:val="32"/>
          <w:szCs w:val="32"/>
        </w:rPr>
      </w:pPr>
      <w:r>
        <w:rPr>
          <w:rFonts w:hint="eastAsia" w:ascii="宋体" w:hAnsi="宋体" w:eastAsia="宋体" w:cs="宋体"/>
          <w:b/>
          <w:bCs/>
          <w:sz w:val="32"/>
          <w:szCs w:val="32"/>
          <w:lang w:eastAsia="zh-CN"/>
        </w:rPr>
        <w:t>拟</w:t>
      </w:r>
      <w:r>
        <w:rPr>
          <w:rFonts w:hint="eastAsia" w:ascii="宋体" w:hAnsi="宋体" w:eastAsia="宋体" w:cs="宋体"/>
          <w:b/>
          <w:bCs/>
          <w:sz w:val="32"/>
          <w:szCs w:val="32"/>
        </w:rPr>
        <w:t>审批公示</w:t>
      </w:r>
    </w:p>
    <w:p>
      <w:pPr>
        <w:widowControl/>
        <w:spacing w:line="360" w:lineRule="auto"/>
        <w:ind w:firstLine="640" w:firstLineChars="200"/>
        <w:jc w:val="left"/>
        <w:rPr>
          <w:rFonts w:hint="eastAsia" w:ascii="宋体" w:hAnsi="宋体" w:cs="宋体"/>
          <w:kern w:val="0"/>
          <w:sz w:val="32"/>
          <w:szCs w:val="32"/>
        </w:rPr>
      </w:pP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根据建设项目环境影响评价审批程序的有关规定，我局拟对以下环境影响评价文件进行审查。为保证审查工作的严肃性和公正性，现将拟审查的环境影响评价文件基本情况予以公示，公示期为</w:t>
      </w:r>
      <w:r>
        <w:rPr>
          <w:rFonts w:hint="eastAsia" w:ascii="宋体" w:hAnsi="宋体" w:cs="宋体"/>
          <w:kern w:val="0"/>
          <w:szCs w:val="21"/>
          <w:lang w:val="en-US" w:eastAsia="zh-CN"/>
        </w:rPr>
        <w:t>2个工作日</w:t>
      </w:r>
      <w:r>
        <w:rPr>
          <w:rFonts w:hint="eastAsia" w:ascii="宋体" w:hAnsi="宋体" w:cs="宋体"/>
          <w:kern w:val="0"/>
          <w:szCs w:val="21"/>
        </w:rPr>
        <w:t>。 </w:t>
      </w:r>
    </w:p>
    <w:p>
      <w:pPr>
        <w:widowControl/>
        <w:spacing w:line="360" w:lineRule="auto"/>
        <w:ind w:firstLine="420" w:firstLineChars="200"/>
        <w:jc w:val="left"/>
        <w:rPr>
          <w:rFonts w:ascii="宋体" w:hAnsi="宋体"/>
          <w:szCs w:val="21"/>
        </w:rPr>
      </w:pPr>
      <w:r>
        <w:rPr>
          <w:rFonts w:hint="eastAsia" w:ascii="宋体" w:hAnsi="宋体" w:cs="宋体"/>
          <w:kern w:val="0"/>
          <w:szCs w:val="21"/>
        </w:rPr>
        <w:t>听证权利告知：依据《中华人民共和国行政许可法》，自公示起</w:t>
      </w:r>
      <w:r>
        <w:rPr>
          <w:rFonts w:hint="eastAsia" w:ascii="宋体" w:hAnsi="宋体" w:cs="宋体"/>
          <w:kern w:val="0"/>
          <w:szCs w:val="21"/>
          <w:lang w:val="en-US" w:eastAsia="zh-CN"/>
        </w:rPr>
        <w:t>2个工作日</w:t>
      </w:r>
      <w:r>
        <w:rPr>
          <w:rFonts w:hint="eastAsia" w:ascii="宋体" w:hAnsi="宋体" w:cs="宋体"/>
          <w:kern w:val="0"/>
          <w:szCs w:val="21"/>
        </w:rPr>
        <w:t>内申请人、利害关系人可提出听证申请。 </w:t>
      </w:r>
    </w:p>
    <w:p>
      <w:pPr>
        <w:spacing w:line="360" w:lineRule="auto"/>
        <w:ind w:firstLine="420" w:firstLineChars="200"/>
        <w:rPr>
          <w:rFonts w:hint="eastAsia" w:ascii="宋体" w:hAnsi="宋体"/>
          <w:szCs w:val="21"/>
        </w:rPr>
      </w:pPr>
      <w:r>
        <w:rPr>
          <w:rFonts w:hint="eastAsia" w:ascii="宋体" w:hAnsi="宋体"/>
          <w:szCs w:val="21"/>
        </w:rPr>
        <w:t>公示日期：20</w:t>
      </w:r>
      <w:r>
        <w:rPr>
          <w:rFonts w:hint="eastAsia" w:ascii="宋体" w:hAnsi="宋体"/>
          <w:szCs w:val="21"/>
          <w:lang w:val="en-US" w:eastAsia="zh-CN"/>
        </w:rPr>
        <w:t>23</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w:t>
      </w:r>
    </w:p>
    <w:p>
      <w:pPr>
        <w:spacing w:line="360" w:lineRule="auto"/>
        <w:ind w:firstLine="420" w:firstLineChars="200"/>
        <w:rPr>
          <w:rFonts w:ascii="宋体" w:hAnsi="宋体"/>
          <w:szCs w:val="21"/>
        </w:rPr>
      </w:pPr>
      <w:r>
        <w:rPr>
          <w:rFonts w:hint="eastAsia" w:ascii="宋体" w:hAnsi="宋体"/>
          <w:szCs w:val="21"/>
        </w:rPr>
        <w:t>联系电话（传真）：89177925</w:t>
      </w:r>
    </w:p>
    <w:p>
      <w:pPr>
        <w:spacing w:line="360" w:lineRule="auto"/>
        <w:ind w:firstLine="420" w:firstLineChars="200"/>
        <w:rPr>
          <w:rFonts w:ascii="宋体" w:hAnsi="宋体"/>
          <w:szCs w:val="21"/>
        </w:rPr>
      </w:pPr>
      <w:r>
        <w:rPr>
          <w:rFonts w:hint="eastAsia" w:ascii="宋体" w:hAnsi="宋体"/>
          <w:szCs w:val="21"/>
        </w:rPr>
        <w:t>通讯地址：长春市</w:t>
      </w:r>
      <w:r>
        <w:rPr>
          <w:rFonts w:hint="eastAsia" w:ascii="宋体" w:hAnsi="宋体"/>
          <w:szCs w:val="21"/>
          <w:lang w:eastAsia="zh-CN"/>
        </w:rPr>
        <w:t>二道区惠工路</w:t>
      </w:r>
      <w:r>
        <w:rPr>
          <w:rFonts w:hint="eastAsia" w:ascii="宋体" w:hAnsi="宋体"/>
          <w:szCs w:val="21"/>
          <w:lang w:val="en-US" w:eastAsia="zh-CN"/>
        </w:rPr>
        <w:t>799</w:t>
      </w:r>
      <w:r>
        <w:rPr>
          <w:rFonts w:hint="eastAsia" w:ascii="宋体" w:hAnsi="宋体"/>
          <w:szCs w:val="21"/>
        </w:rPr>
        <w:t>号</w:t>
      </w:r>
    </w:p>
    <w:p>
      <w:pPr>
        <w:spacing w:line="360" w:lineRule="auto"/>
        <w:ind w:firstLine="420" w:firstLineChars="200"/>
        <w:rPr>
          <w:rFonts w:hint="eastAsia" w:ascii="宋体" w:hAnsi="宋体" w:eastAsia="宋体" w:cs="宋体"/>
          <w:sz w:val="21"/>
          <w:szCs w:val="21"/>
        </w:rPr>
      </w:pPr>
      <w:r>
        <w:rPr>
          <w:rFonts w:hint="eastAsia" w:ascii="宋体" w:hAnsi="宋体"/>
          <w:szCs w:val="21"/>
        </w:rPr>
        <w:t>邮    编：130000</w:t>
      </w:r>
    </w:p>
    <w:tbl>
      <w:tblPr>
        <w:tblStyle w:val="3"/>
        <w:tblpPr w:leftFromText="180" w:rightFromText="180" w:vertAnchor="text" w:horzAnchor="margin" w:tblpY="155"/>
        <w:tblW w:w="9661"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108" w:type="dxa"/>
          <w:bottom w:w="0" w:type="dxa"/>
          <w:right w:w="108" w:type="dxa"/>
        </w:tblCellMar>
      </w:tblPr>
      <w:tblGrid>
        <w:gridCol w:w="1497"/>
        <w:gridCol w:w="1497"/>
        <w:gridCol w:w="1498"/>
        <w:gridCol w:w="1497"/>
        <w:gridCol w:w="1498"/>
        <w:gridCol w:w="217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497" w:type="dxa"/>
            <w:tcBorders>
              <w:top w:val="single" w:color="000000" w:sz="4" w:space="0"/>
              <w:left w:val="single" w:color="auto" w:sz="4" w:space="0"/>
              <w:bottom w:val="single" w:color="000000" w:sz="4" w:space="0"/>
              <w:right w:val="single" w:color="000000" w:sz="4" w:space="0"/>
            </w:tcBorders>
            <w:noWrap w:val="0"/>
            <w:vAlign w:val="center"/>
          </w:tcPr>
          <w:p>
            <w:pPr>
              <w:widowControl/>
              <w:rPr>
                <w:rFonts w:hint="eastAsia" w:ascii="宋体" w:hAnsi="宋体" w:eastAsia="宋体" w:cs="宋体"/>
                <w:kern w:val="0"/>
                <w:sz w:val="21"/>
                <w:szCs w:val="21"/>
              </w:rPr>
            </w:pPr>
            <w:r>
              <w:rPr>
                <w:rFonts w:hint="eastAsia" w:ascii="宋体" w:hAnsi="宋体" w:eastAsia="宋体" w:cs="宋体"/>
                <w:b/>
                <w:bCs/>
                <w:kern w:val="0"/>
                <w:sz w:val="21"/>
                <w:szCs w:val="21"/>
              </w:rPr>
              <w:t>项目名称</w:t>
            </w:r>
          </w:p>
        </w:tc>
        <w:tc>
          <w:tcPr>
            <w:tcW w:w="1497" w:type="dxa"/>
            <w:tcBorders>
              <w:top w:val="single" w:color="000000" w:sz="4" w:space="0"/>
              <w:left w:val="nil"/>
              <w:bottom w:val="single" w:color="000000" w:sz="4" w:space="0"/>
              <w:right w:val="single" w:color="000000" w:sz="4" w:space="0"/>
            </w:tcBorders>
            <w:noWrap w:val="0"/>
            <w:vAlign w:val="center"/>
          </w:tcPr>
          <w:p>
            <w:pPr>
              <w:widowControl/>
              <w:rPr>
                <w:rFonts w:hint="eastAsia" w:ascii="宋体" w:hAnsi="宋体" w:eastAsia="宋体" w:cs="宋体"/>
                <w:kern w:val="0"/>
                <w:sz w:val="21"/>
                <w:szCs w:val="21"/>
              </w:rPr>
            </w:pPr>
            <w:r>
              <w:rPr>
                <w:rFonts w:hint="eastAsia" w:ascii="宋体" w:hAnsi="宋体" w:eastAsia="宋体" w:cs="宋体"/>
                <w:b/>
                <w:bCs/>
                <w:kern w:val="0"/>
                <w:sz w:val="21"/>
                <w:szCs w:val="21"/>
              </w:rPr>
              <w:t>建设地点</w:t>
            </w:r>
          </w:p>
        </w:tc>
        <w:tc>
          <w:tcPr>
            <w:tcW w:w="1498" w:type="dxa"/>
            <w:tcBorders>
              <w:top w:val="single" w:color="000000" w:sz="4" w:space="0"/>
              <w:left w:val="nil"/>
              <w:bottom w:val="single" w:color="000000" w:sz="4" w:space="0"/>
              <w:right w:val="single" w:color="000000" w:sz="4" w:space="0"/>
            </w:tcBorders>
            <w:noWrap w:val="0"/>
            <w:vAlign w:val="center"/>
          </w:tcPr>
          <w:p>
            <w:pPr>
              <w:widowControl/>
              <w:rPr>
                <w:rFonts w:hint="eastAsia" w:ascii="宋体" w:hAnsi="宋体" w:eastAsia="宋体" w:cs="宋体"/>
                <w:kern w:val="0"/>
                <w:sz w:val="21"/>
                <w:szCs w:val="21"/>
              </w:rPr>
            </w:pPr>
            <w:r>
              <w:rPr>
                <w:rFonts w:hint="eastAsia" w:ascii="宋体" w:hAnsi="宋体" w:eastAsia="宋体" w:cs="宋体"/>
                <w:b/>
                <w:bCs/>
                <w:kern w:val="0"/>
                <w:sz w:val="21"/>
                <w:szCs w:val="21"/>
              </w:rPr>
              <w:t>建设单位</w:t>
            </w:r>
          </w:p>
        </w:tc>
        <w:tc>
          <w:tcPr>
            <w:tcW w:w="1497" w:type="dxa"/>
            <w:tcBorders>
              <w:top w:val="single" w:color="000000" w:sz="4" w:space="0"/>
              <w:left w:val="nil"/>
              <w:bottom w:val="single" w:color="000000" w:sz="4" w:space="0"/>
              <w:right w:val="single" w:color="000000" w:sz="4" w:space="0"/>
            </w:tcBorders>
            <w:noWrap w:val="0"/>
            <w:vAlign w:val="center"/>
          </w:tcPr>
          <w:p>
            <w:pPr>
              <w:widowControl/>
              <w:rPr>
                <w:rFonts w:hint="eastAsia" w:ascii="宋体" w:hAnsi="宋体" w:eastAsia="宋体" w:cs="宋体"/>
                <w:kern w:val="0"/>
                <w:sz w:val="21"/>
                <w:szCs w:val="21"/>
              </w:rPr>
            </w:pPr>
            <w:r>
              <w:rPr>
                <w:rFonts w:hint="eastAsia" w:ascii="宋体" w:hAnsi="宋体" w:eastAsia="宋体" w:cs="宋体"/>
                <w:b/>
                <w:bCs/>
                <w:kern w:val="0"/>
                <w:sz w:val="21"/>
                <w:szCs w:val="21"/>
              </w:rPr>
              <w:t>环境影响评价机构</w:t>
            </w:r>
          </w:p>
        </w:tc>
        <w:tc>
          <w:tcPr>
            <w:tcW w:w="1498" w:type="dxa"/>
            <w:tcBorders>
              <w:top w:val="single" w:color="000000" w:sz="4" w:space="0"/>
              <w:left w:val="nil"/>
              <w:bottom w:val="single" w:color="000000" w:sz="4" w:space="0"/>
              <w:right w:val="single" w:color="auto" w:sz="4" w:space="0"/>
            </w:tcBorders>
            <w:noWrap w:val="0"/>
            <w:vAlign w:val="center"/>
          </w:tcPr>
          <w:p>
            <w:pPr>
              <w:widowControl/>
              <w:rPr>
                <w:rFonts w:hint="eastAsia" w:ascii="宋体" w:hAnsi="宋体" w:eastAsia="宋体" w:cs="宋体"/>
                <w:b/>
                <w:bCs/>
                <w:kern w:val="0"/>
                <w:sz w:val="21"/>
                <w:szCs w:val="21"/>
              </w:rPr>
            </w:pPr>
            <w:r>
              <w:rPr>
                <w:rFonts w:hint="eastAsia" w:ascii="宋体" w:hAnsi="宋体" w:eastAsia="宋体" w:cs="宋体"/>
                <w:b/>
                <w:bCs/>
                <w:kern w:val="0"/>
                <w:sz w:val="21"/>
                <w:szCs w:val="21"/>
              </w:rPr>
              <w:t>项目概况</w:t>
            </w:r>
          </w:p>
        </w:tc>
        <w:tc>
          <w:tcPr>
            <w:tcW w:w="217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Cs/>
                <w:kern w:val="0"/>
                <w:sz w:val="21"/>
                <w:szCs w:val="21"/>
              </w:rPr>
            </w:pPr>
            <w:r>
              <w:rPr>
                <w:rStyle w:val="6"/>
                <w:rFonts w:hint="eastAsia" w:ascii="宋体" w:hAnsi="宋体" w:eastAsia="宋体" w:cs="宋体"/>
                <w:sz w:val="21"/>
                <w:szCs w:val="21"/>
              </w:rPr>
              <w:t>主要环境影响及预防或者减轻不良影响的对策和措施</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trHeight w:val="5430" w:hRule="atLeast"/>
        </w:trPr>
        <w:tc>
          <w:tcPr>
            <w:tcW w:w="149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年处理100万吨建筑垃圾及年产150万吨新型建筑材料项目</w:t>
            </w:r>
          </w:p>
          <w:p>
            <w:pPr>
              <w:keepNext w:val="0"/>
              <w:keepLines w:val="0"/>
              <w:widowControl/>
              <w:suppressLineNumbers w:val="0"/>
              <w:jc w:val="center"/>
            </w:pPr>
          </w:p>
          <w:p>
            <w:pPr>
              <w:keepNext w:val="0"/>
              <w:keepLines w:val="0"/>
              <w:widowControl/>
              <w:suppressLineNumbers w:val="0"/>
              <w:jc w:val="center"/>
              <w:rPr>
                <w:rFonts w:hint="eastAsia" w:ascii="宋体" w:hAnsi="宋体" w:cs="宋体"/>
                <w:b w:val="0"/>
                <w:bCs w:val="0"/>
                <w:color w:val="000000"/>
                <w:kern w:val="0"/>
                <w:sz w:val="24"/>
                <w:szCs w:val="24"/>
                <w:lang w:val="en-US" w:eastAsia="zh-CN" w:bidi="ar"/>
              </w:rPr>
            </w:pPr>
          </w:p>
          <w:p>
            <w:pPr>
              <w:keepNext w:val="0"/>
              <w:keepLines w:val="0"/>
              <w:widowControl/>
              <w:suppressLineNumbers w:val="0"/>
              <w:jc w:val="center"/>
              <w:rPr>
                <w:rFonts w:hint="eastAsia" w:ascii="宋体" w:hAnsi="宋体" w:cs="宋体"/>
                <w:b w:val="0"/>
                <w:bCs w:val="0"/>
                <w:color w:val="000000"/>
                <w:kern w:val="0"/>
                <w:sz w:val="24"/>
                <w:szCs w:val="24"/>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left"/>
              <w:textAlignment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left"/>
              <w:textAlignment w:val="center"/>
              <w:rPr>
                <w:rFonts w:hint="eastAsia" w:ascii="宋体" w:hAnsi="宋体" w:cs="宋体"/>
                <w:b w:val="0"/>
                <w:bCs w:val="0"/>
                <w:color w:val="000000"/>
                <w:kern w:val="0"/>
                <w:sz w:val="21"/>
                <w:szCs w:val="21"/>
                <w:lang w:val="en-US" w:eastAsia="zh-CN" w:bidi="ar"/>
              </w:rPr>
            </w:pPr>
          </w:p>
        </w:tc>
        <w:tc>
          <w:tcPr>
            <w:tcW w:w="149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吉林省长春市二道区英俊镇长石公路 8 公里处</w:t>
            </w: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 xml:space="preserve"> </w:t>
            </w:r>
          </w:p>
          <w:p>
            <w:pPr>
              <w:keepNext w:val="0"/>
              <w:keepLines w:val="0"/>
              <w:widowControl/>
              <w:suppressLineNumbers w:val="0"/>
              <w:jc w:val="center"/>
              <w:rPr>
                <w:rFonts w:hint="default" w:ascii="宋体" w:hAnsi="宋体" w:cs="宋体"/>
                <w:b w:val="0"/>
                <w:bCs w:val="0"/>
                <w:color w:val="000000"/>
                <w:kern w:val="0"/>
                <w:sz w:val="21"/>
                <w:szCs w:val="21"/>
                <w:lang w:val="en-US" w:eastAsia="zh-CN" w:bidi="ar"/>
              </w:rPr>
            </w:pPr>
          </w:p>
        </w:tc>
        <w:tc>
          <w:tcPr>
            <w:tcW w:w="149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长春城投市政资源利用科技有限公司</w:t>
            </w:r>
          </w:p>
        </w:tc>
        <w:tc>
          <w:tcPr>
            <w:tcW w:w="149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吉林省鑫淼环保科技有限公司</w:t>
            </w:r>
          </w:p>
        </w:tc>
        <w:tc>
          <w:tcPr>
            <w:tcW w:w="1498" w:type="dxa"/>
            <w:tcBorders>
              <w:top w:val="single" w:color="000000" w:sz="4" w:space="0"/>
              <w:left w:val="nil"/>
              <w:bottom w:val="single" w:color="000000" w:sz="4" w:space="0"/>
              <w:right w:val="single" w:color="000000" w:sz="4" w:space="0"/>
            </w:tcBorders>
            <w:noWrap w:val="0"/>
            <w:vAlign w:val="center"/>
          </w:tcPr>
          <w:p>
            <w:pPr>
              <w:spacing w:line="560" w:lineRule="exact"/>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该项目位于长春市二道区英俊镇长石公路8公里处。占地面积：39513㎡，建筑面积:22667.88㎡，项目总投资5000万元、环保投资231万。扩建后年处理100万吨建筑垃圾，年产150万吨新型建筑材料。</w:t>
            </w:r>
          </w:p>
          <w:p>
            <w:pPr>
              <w:spacing w:line="560" w:lineRule="exact"/>
              <w:ind w:firstLine="420" w:firstLineChars="200"/>
              <w:rPr>
                <w:rFonts w:hint="default" w:ascii="宋体" w:hAnsi="宋体" w:cs="宋体"/>
                <w:sz w:val="21"/>
                <w:szCs w:val="21"/>
                <w:lang w:val="en-US" w:eastAsia="zh-CN"/>
              </w:rPr>
            </w:pPr>
          </w:p>
          <w:p>
            <w:pPr>
              <w:spacing w:line="360" w:lineRule="auto"/>
              <w:ind w:firstLine="640" w:firstLineChars="200"/>
              <w:rPr>
                <w:rFonts w:hint="default" w:ascii="仿宋" w:hAnsi="仿宋" w:eastAsia="仿宋" w:cs="仿宋"/>
                <w:color w:val="auto"/>
                <w:sz w:val="32"/>
                <w:szCs w:val="32"/>
                <w:highlight w:val="none"/>
                <w:lang w:val="en-US" w:eastAsia="zh-CN"/>
              </w:rPr>
            </w:pPr>
          </w:p>
          <w:p>
            <w:pPr>
              <w:spacing w:line="560" w:lineRule="exact"/>
              <w:ind w:firstLine="420" w:firstLineChars="200"/>
              <w:rPr>
                <w:rFonts w:hint="eastAsia" w:ascii="宋体" w:hAnsi="宋体" w:eastAsia="宋体" w:cs="宋体"/>
                <w:sz w:val="21"/>
                <w:szCs w:val="21"/>
                <w:lang w:val="en-US" w:eastAsia="zh-CN"/>
              </w:rPr>
            </w:pPr>
          </w:p>
          <w:p>
            <w:pPr>
              <w:widowControl/>
              <w:rPr>
                <w:rFonts w:hint="eastAsia" w:ascii="宋体" w:hAnsi="宋体" w:eastAsia="宋体" w:cs="宋体"/>
                <w:kern w:val="0"/>
                <w:sz w:val="21"/>
                <w:szCs w:val="21"/>
                <w:lang w:val="en-US" w:eastAsia="zh-CN"/>
              </w:rPr>
            </w:pPr>
          </w:p>
        </w:tc>
        <w:tc>
          <w:tcPr>
            <w:tcW w:w="2174" w:type="dxa"/>
            <w:tcBorders>
              <w:top w:val="single" w:color="auto" w:sz="4" w:space="0"/>
              <w:left w:val="nil"/>
              <w:bottom w:val="single" w:color="000000" w:sz="4" w:space="0"/>
              <w:right w:val="single" w:color="000000" w:sz="4" w:space="0"/>
            </w:tcBorders>
            <w:noWrap w:val="0"/>
            <w:vAlign w:val="top"/>
          </w:tcPr>
          <w:p>
            <w:pPr>
              <w:adjustRightInd w:val="0"/>
              <w:snapToGrid w:val="0"/>
              <w:spacing w:line="240" w:lineRule="auto"/>
              <w:ind w:firstLine="420" w:firstLineChars="200"/>
              <w:jc w:val="left"/>
              <w:rPr>
                <w:rFonts w:hint="default" w:ascii="宋体" w:hAnsi="宋体" w:cs="宋体"/>
                <w:sz w:val="21"/>
                <w:szCs w:val="21"/>
                <w:lang w:val="en-US" w:eastAsia="zh-CN"/>
              </w:rPr>
            </w:pPr>
            <w:r>
              <w:rPr>
                <w:rFonts w:hint="eastAsia" w:ascii="宋体" w:hAnsi="宋体" w:cs="宋体"/>
                <w:sz w:val="21"/>
                <w:szCs w:val="21"/>
                <w:lang w:val="en-US" w:eastAsia="zh-CN"/>
              </w:rPr>
              <w:t>（一）燃气锅炉烟气满足《锅炉大气污染物排放标准》（GB13271-2014）中表3燃气锅炉大气污染物特别排放限值要求，锅炉烟气经高度大于8米的烟囱达标排放（新建锅炉房的烟囱应高出烟囱周围半径200米距离内最高建筑物3米以上）。建筑垃圾给料、破碎、筛分产生的粉尘，生产区域封闭处理，设置隔断等措施与其他区域隔离开，在给料、一二级破碎、筛分工序产尘点上方分别设置集气罩+布袋除尘器，废气通过15米高排气筒排放，废气应满足《大气污染物综合排放标准》（GB16297-1996）表2颗粒物二级排放标准限值，排放速率限值严格50%。水泥筒仓、粉料筒仓顶部均配置1台脉冲除尘器+排气筒，废气满足《水泥工业大气污染物排放标准》（GB4915-2013）表2中散装水泥中转站及水泥制品生产颗粒物特别排放限值，排气筒高度大于15米。食堂油烟经净化设施处理后，应满足《饮食业油烟排放标准（试行）》（GB18483-2001）中油烟排放标准限值。</w:t>
            </w:r>
          </w:p>
          <w:p>
            <w:pPr>
              <w:adjustRightInd w:val="0"/>
              <w:snapToGrid w:val="0"/>
              <w:spacing w:line="240" w:lineRule="auto"/>
              <w:ind w:firstLine="420" w:firstLineChars="200"/>
              <w:jc w:val="left"/>
              <w:rPr>
                <w:rFonts w:hint="default" w:ascii="宋体" w:hAnsi="宋体" w:cs="宋体"/>
                <w:sz w:val="21"/>
                <w:szCs w:val="21"/>
                <w:lang w:val="en-US" w:eastAsia="zh-CN"/>
              </w:rPr>
            </w:pPr>
            <w:r>
              <w:rPr>
                <w:rFonts w:hint="eastAsia" w:ascii="宋体" w:hAnsi="宋体" w:cs="宋体"/>
                <w:sz w:val="21"/>
                <w:szCs w:val="21"/>
                <w:lang w:val="en-US" w:eastAsia="zh-CN"/>
              </w:rPr>
              <w:t>（二）车辆冲洗废水、设备冲洗废水不外排；软化水设备排水、锅炉排污水用于厂区道路降尘；职工生活废水和餐饮废水排入化粪池暂存，由罐车运至二道区英俊污水处理厂处理，执行《污水综合排放标准》（GB8978-1996）三级排放标准限值。</w:t>
            </w:r>
          </w:p>
          <w:p>
            <w:pPr>
              <w:adjustRightInd w:val="0"/>
              <w:snapToGrid w:val="0"/>
              <w:spacing w:line="240" w:lineRule="auto"/>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（三）采取有效隔声、消声、减震等综合治理措施，厂界处噪声符合《工业企业厂界环境噪声排放标准》（GB12348-2008）中2类标准要求。                                                                                                                                                                                                                                                                                                                                                                                                                                                                                                                                                                                                                                                                                                    </w:t>
            </w:r>
          </w:p>
          <w:p>
            <w:pPr>
              <w:adjustRightInd w:val="0"/>
              <w:snapToGrid w:val="0"/>
              <w:spacing w:line="240" w:lineRule="auto"/>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（四）磁选工序产生的杂物（废金属等）经收集后外卖给废品收</w:t>
            </w:r>
            <w:bookmarkStart w:id="0" w:name="_GoBack"/>
            <w:bookmarkEnd w:id="0"/>
            <w:r>
              <w:rPr>
                <w:rFonts w:hint="eastAsia" w:ascii="宋体" w:hAnsi="宋体" w:cs="宋体"/>
                <w:sz w:val="21"/>
                <w:szCs w:val="21"/>
                <w:lang w:val="en-US" w:eastAsia="zh-CN"/>
              </w:rPr>
              <w:t>购站综合利用，筛选工序产生的石粉用于生产；建筑垃圾处理生产线除尘器和筒仓仓顶除尘器收集到的粉尘回用于生产；实验室抽检的废样品回用于生产；沉淀池产生的沉降粉尘，经压滤脱水后制成泥饼回用于路基材料生产；餐饮泔水和废油脂委托有资质的单位处理；生活垃圾由市政环卫部门统一处理；废机油厂家在给设备维修保养后将废机油带离厂区，不在厂区暂存，废离子交换树脂可返回设备厂家更换。</w:t>
            </w:r>
          </w:p>
          <w:p>
            <w:pPr>
              <w:adjustRightInd w:val="0"/>
              <w:snapToGrid w:val="0"/>
              <w:spacing w:line="240" w:lineRule="auto"/>
              <w:ind w:firstLine="420" w:firstLineChars="200"/>
              <w:jc w:val="left"/>
              <w:rPr>
                <w:rFonts w:hint="default" w:ascii="宋体" w:hAnsi="宋体" w:cs="宋体"/>
                <w:sz w:val="21"/>
                <w:szCs w:val="21"/>
                <w:lang w:val="en-US" w:eastAsia="zh-CN"/>
              </w:rPr>
            </w:pPr>
            <w:r>
              <w:rPr>
                <w:rFonts w:hint="eastAsia" w:ascii="宋体" w:hAnsi="宋体" w:cs="宋体"/>
                <w:sz w:val="21"/>
                <w:szCs w:val="21"/>
                <w:lang w:val="en-US" w:eastAsia="zh-CN"/>
              </w:rPr>
              <w:t>（五）严格执行落实环评报告表中提出的各项环境风险防范措施。</w:t>
            </w:r>
          </w:p>
          <w:p>
            <w:pPr>
              <w:adjustRightInd w:val="0"/>
              <w:snapToGrid w:val="0"/>
              <w:spacing w:line="240" w:lineRule="auto"/>
              <w:ind w:firstLine="420" w:firstLineChars="200"/>
              <w:jc w:val="left"/>
              <w:rPr>
                <w:rFonts w:hint="default" w:ascii="宋体" w:hAnsi="宋体" w:cs="宋体"/>
                <w:sz w:val="21"/>
                <w:szCs w:val="21"/>
                <w:lang w:val="en-US" w:eastAsia="zh-CN"/>
              </w:rPr>
            </w:pPr>
            <w:r>
              <w:rPr>
                <w:rFonts w:hint="eastAsia" w:ascii="宋体" w:hAnsi="宋体" w:cs="宋体"/>
                <w:sz w:val="21"/>
                <w:szCs w:val="21"/>
                <w:lang w:val="en-US" w:eastAsia="zh-CN"/>
              </w:rPr>
              <w:t>（六）项目的污染防治设施必须与主体工程同时设计、同时施工、同时投入使用。竣工后，你单位应按规定进行环保验收。</w:t>
            </w:r>
          </w:p>
          <w:p>
            <w:pPr>
              <w:adjustRightInd w:val="0"/>
              <w:snapToGrid w:val="0"/>
              <w:spacing w:line="240" w:lineRule="auto"/>
              <w:ind w:firstLine="420" w:firstLineChars="200"/>
              <w:jc w:val="left"/>
              <w:rPr>
                <w:rFonts w:hint="eastAsia" w:ascii="宋体" w:hAnsi="宋体" w:cs="宋体"/>
                <w:sz w:val="21"/>
                <w:szCs w:val="21"/>
                <w:lang w:val="en-US" w:eastAsia="zh-CN"/>
              </w:rPr>
            </w:pPr>
          </w:p>
          <w:p>
            <w:pPr>
              <w:spacing w:line="520" w:lineRule="exact"/>
              <w:ind w:firstLine="210" w:firstLineChars="100"/>
              <w:rPr>
                <w:rFonts w:hint="eastAsia" w:ascii="宋体" w:hAnsi="宋体" w:eastAsia="宋体" w:cs="宋体"/>
                <w:sz w:val="21"/>
                <w:szCs w:val="21"/>
                <w:lang w:val="en-US" w:eastAsia="zh-CN"/>
              </w:rPr>
            </w:pPr>
          </w:p>
          <w:p>
            <w:pPr>
              <w:spacing w:line="520" w:lineRule="exact"/>
              <w:ind w:firstLine="210" w:firstLineChars="100"/>
              <w:rPr>
                <w:rFonts w:hint="eastAsia" w:ascii="宋体" w:hAnsi="宋体" w:eastAsia="宋体" w:cs="宋体"/>
                <w:sz w:val="21"/>
                <w:szCs w:val="21"/>
                <w:lang w:val="en-US" w:eastAsia="zh-CN"/>
              </w:rPr>
            </w:pPr>
          </w:p>
          <w:p>
            <w:pPr>
              <w:spacing w:line="520" w:lineRule="exact"/>
              <w:ind w:firstLine="210" w:firstLineChars="100"/>
              <w:rPr>
                <w:rFonts w:hint="eastAsia" w:ascii="宋体" w:hAnsi="宋体" w:eastAsia="宋体" w:cs="宋体"/>
                <w:sz w:val="21"/>
                <w:szCs w:val="21"/>
                <w:lang w:val="en-US" w:eastAsia="zh-CN"/>
              </w:rPr>
            </w:pPr>
          </w:p>
          <w:p>
            <w:pPr>
              <w:spacing w:line="560" w:lineRule="exact"/>
              <w:ind w:firstLine="210" w:firstLineChars="100"/>
              <w:rPr>
                <w:rFonts w:hint="eastAsia" w:ascii="宋体" w:hAnsi="宋体" w:eastAsia="宋体" w:cs="宋体"/>
                <w:sz w:val="21"/>
                <w:szCs w:val="21"/>
              </w:rPr>
            </w:pPr>
          </w:p>
        </w:tc>
      </w:tr>
    </w:tbl>
    <w:p>
      <w:pPr>
        <w:widowControl/>
        <w:spacing w:line="360" w:lineRule="auto"/>
        <w:jc w:val="left"/>
        <w:rPr>
          <w:rFonts w:hint="eastAsia" w:ascii="宋体" w:hAnsi="宋体" w:cs="宋体"/>
          <w:kern w:val="0"/>
          <w:sz w:val="24"/>
          <w:szCs w:val="21"/>
        </w:rPr>
      </w:pPr>
      <w:r>
        <w:rPr>
          <w:rFonts w:hint="eastAsia" w:ascii="宋体" w:hAnsi="宋体" w:cs="宋体"/>
          <w:kern w:val="0"/>
          <w:sz w:val="24"/>
          <w:szCs w:val="21"/>
        </w:rPr>
        <w:t>根据《建设项目环境影响评价政府信息公开指南（试行）》的有关规定，该环境影响报告表不含涉及国家秘密、商业秘密、个人隐私以及涉及国家安全、公共安全、经济安全和社会稳定的内容。</w:t>
      </w:r>
    </w:p>
    <w:p>
      <w:r>
        <w:rPr>
          <w:rFonts w:hint="eastAsia"/>
          <w:sz w:val="24"/>
        </w:rPr>
        <w:t xml:space="preserve">                                                   长春市</w:t>
      </w:r>
      <w:r>
        <w:rPr>
          <w:rFonts w:hint="eastAsia"/>
          <w:sz w:val="24"/>
          <w:lang w:eastAsia="zh-CN"/>
        </w:rPr>
        <w:t>生态</w:t>
      </w:r>
      <w:r>
        <w:rPr>
          <w:rFonts w:hint="eastAsia"/>
          <w:sz w:val="24"/>
        </w:rPr>
        <w:t>环境局二道</w:t>
      </w:r>
      <w:r>
        <w:rPr>
          <w:rFonts w:hint="eastAsia"/>
          <w:sz w:val="24"/>
          <w:lang w:eastAsia="zh-CN"/>
        </w:rPr>
        <w:t>区</w:t>
      </w:r>
      <w:r>
        <w:rPr>
          <w:rFonts w:hint="eastAsia"/>
          <w:sz w:val="24"/>
        </w:rPr>
        <w:t>分局</w:t>
      </w:r>
    </w:p>
    <w:sectPr>
      <w:pgSz w:w="11906" w:h="16838"/>
      <w:pgMar w:top="1440" w:right="746" w:bottom="1440" w:left="108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0NDY0MTdiM2FmNjA2MzVmMDQ5MmY2MDBjM2U3NWYifQ=="/>
  </w:docVars>
  <w:rsids>
    <w:rsidRoot w:val="50176751"/>
    <w:rsid w:val="01CD75E7"/>
    <w:rsid w:val="03AA40DC"/>
    <w:rsid w:val="04810DFD"/>
    <w:rsid w:val="06491816"/>
    <w:rsid w:val="097B0D6D"/>
    <w:rsid w:val="0A03456B"/>
    <w:rsid w:val="0CAA6E21"/>
    <w:rsid w:val="0D7E1B06"/>
    <w:rsid w:val="0EF83861"/>
    <w:rsid w:val="1669787A"/>
    <w:rsid w:val="18C9461D"/>
    <w:rsid w:val="1C2E1681"/>
    <w:rsid w:val="1FA77F0C"/>
    <w:rsid w:val="22104388"/>
    <w:rsid w:val="263E1036"/>
    <w:rsid w:val="2C267795"/>
    <w:rsid w:val="2C630126"/>
    <w:rsid w:val="2F873DA7"/>
    <w:rsid w:val="30030473"/>
    <w:rsid w:val="33A76F60"/>
    <w:rsid w:val="374D214B"/>
    <w:rsid w:val="376E47E9"/>
    <w:rsid w:val="3A9B16E9"/>
    <w:rsid w:val="3EE22B4D"/>
    <w:rsid w:val="46D12E4A"/>
    <w:rsid w:val="4AC60F56"/>
    <w:rsid w:val="4DE92D50"/>
    <w:rsid w:val="50176751"/>
    <w:rsid w:val="51D745F8"/>
    <w:rsid w:val="55AB3406"/>
    <w:rsid w:val="5BF74521"/>
    <w:rsid w:val="5EB76EF9"/>
    <w:rsid w:val="63210AC7"/>
    <w:rsid w:val="63D8667C"/>
    <w:rsid w:val="64DA0AC0"/>
    <w:rsid w:val="6D3802B2"/>
    <w:rsid w:val="6E202809"/>
    <w:rsid w:val="784E5E45"/>
    <w:rsid w:val="78E64361"/>
    <w:rsid w:val="79664A53"/>
    <w:rsid w:val="7C6F4493"/>
    <w:rsid w:val="7E713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jc w:val="center"/>
    </w:pPr>
    <w:rPr>
      <w:rFonts w:cs="Times New Roman"/>
      <w:sz w:val="44"/>
      <w:szCs w:val="44"/>
    </w:rPr>
  </w:style>
  <w:style w:type="paragraph" w:customStyle="1" w:styleId="5">
    <w:name w:val="样式 正文11 + 首行缩进:  2 字符"/>
    <w:basedOn w:val="1"/>
    <w:qFormat/>
    <w:uiPriority w:val="0"/>
    <w:pPr>
      <w:spacing w:line="500" w:lineRule="exact"/>
      <w:ind w:firstLine="560" w:firstLineChars="200"/>
    </w:pPr>
    <w:rPr>
      <w:rFonts w:ascii="宋体" w:hAnsi="宋体" w:cs="宋体"/>
      <w:color w:val="FF0000"/>
      <w:sz w:val="28"/>
      <w:szCs w:val="20"/>
    </w:rPr>
  </w:style>
  <w:style w:type="character" w:customStyle="1" w:styleId="6">
    <w:name w:val="style21"/>
    <w:qFormat/>
    <w:uiPriority w:val="0"/>
    <w:rPr>
      <w:b/>
      <w:bCs/>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1295</Words>
  <Characters>1408</Characters>
  <Lines>0</Lines>
  <Paragraphs>0</Paragraphs>
  <TotalTime>0</TotalTime>
  <ScaleCrop>false</ScaleCrop>
  <LinksUpToDate>false</LinksUpToDate>
  <CharactersWithSpaces>2144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2022-10-20T06:49:00Z</dcterms:created>
  <dc:creator>Administrator</dc:creator>
  <cp:lastModifiedBy>Mctracy</cp:lastModifiedBy>
  <dcterms:modified xsi:type="dcterms:W3CDTF">2023-09-13T01:06:58Z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CEF056CD11444F9395983C109555AB53</vt:lpwstr>
  </property>
</Properties>
</file>