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长春国际物流经济开发区智能家居产业园区燃气锅炉建设项目</w:t>
      </w:r>
    </w:p>
    <w:p>
      <w:pPr>
        <w:jc w:val="center"/>
        <w:rPr>
          <w:rFonts w:hint="eastAsia" w:ascii="宋体" w:hAnsi="宋体" w:eastAsia="宋体" w:cs="宋体"/>
          <w:b/>
          <w:bCs/>
          <w:sz w:val="32"/>
          <w:szCs w:val="32"/>
        </w:rPr>
      </w:pPr>
      <w:r>
        <w:rPr>
          <w:rFonts w:hint="eastAsia" w:ascii="宋体" w:hAnsi="宋体" w:eastAsia="宋体" w:cs="宋体"/>
          <w:b/>
          <w:bCs/>
          <w:sz w:val="32"/>
          <w:szCs w:val="32"/>
          <w:lang w:eastAsia="zh-CN"/>
        </w:rPr>
        <w:t>拟</w:t>
      </w:r>
      <w:r>
        <w:rPr>
          <w:rFonts w:hint="eastAsia" w:ascii="宋体" w:hAnsi="宋体" w:eastAsia="宋体" w:cs="宋体"/>
          <w:b/>
          <w:bCs/>
          <w:sz w:val="32"/>
          <w:szCs w:val="32"/>
        </w:rPr>
        <w:t>审批公示</w:t>
      </w:r>
    </w:p>
    <w:p>
      <w:pPr>
        <w:widowControl/>
        <w:spacing w:line="360" w:lineRule="auto"/>
        <w:ind w:firstLine="640" w:firstLineChars="200"/>
        <w:jc w:val="left"/>
        <w:rPr>
          <w:rFonts w:hint="eastAsia" w:ascii="宋体" w:hAnsi="宋体" w:cs="宋体"/>
          <w:kern w:val="0"/>
          <w:sz w:val="32"/>
          <w:szCs w:val="32"/>
        </w:rPr>
      </w:pP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根据建设项目环境影响评价审批程序的有关规定，我局拟对以下环境影响评价文件进行审查。为保证审查工作的严肃性和公正性，现将拟审查的环境影响评价文件基本情况予以公示，公示期为</w:t>
      </w:r>
      <w:r>
        <w:rPr>
          <w:rFonts w:hint="eastAsia" w:ascii="宋体" w:hAnsi="宋体" w:cs="宋体"/>
          <w:kern w:val="0"/>
          <w:szCs w:val="21"/>
          <w:lang w:val="en-US" w:eastAsia="zh-CN"/>
        </w:rPr>
        <w:t>2个工作日</w:t>
      </w:r>
      <w:r>
        <w:rPr>
          <w:rFonts w:hint="eastAsia" w:ascii="宋体" w:hAnsi="宋体" w:cs="宋体"/>
          <w:kern w:val="0"/>
          <w:szCs w:val="21"/>
        </w:rPr>
        <w:t>。 </w:t>
      </w:r>
    </w:p>
    <w:p>
      <w:pPr>
        <w:widowControl/>
        <w:spacing w:line="360" w:lineRule="auto"/>
        <w:ind w:firstLine="420" w:firstLineChars="200"/>
        <w:jc w:val="left"/>
        <w:rPr>
          <w:rFonts w:ascii="宋体" w:hAnsi="宋体"/>
          <w:szCs w:val="21"/>
        </w:rPr>
      </w:pPr>
      <w:r>
        <w:rPr>
          <w:rFonts w:hint="eastAsia" w:ascii="宋体" w:hAnsi="宋体" w:cs="宋体"/>
          <w:kern w:val="0"/>
          <w:szCs w:val="21"/>
        </w:rPr>
        <w:t>听证权利告知：依据《中华人民共和国行政许可法》，自公示起</w:t>
      </w:r>
      <w:r>
        <w:rPr>
          <w:rFonts w:hint="eastAsia" w:ascii="宋体" w:hAnsi="宋体" w:cs="宋体"/>
          <w:kern w:val="0"/>
          <w:szCs w:val="21"/>
          <w:lang w:val="en-US" w:eastAsia="zh-CN"/>
        </w:rPr>
        <w:t>2个工作日</w:t>
      </w:r>
      <w:r>
        <w:rPr>
          <w:rFonts w:hint="eastAsia" w:ascii="宋体" w:hAnsi="宋体" w:cs="宋体"/>
          <w:kern w:val="0"/>
          <w:szCs w:val="21"/>
        </w:rPr>
        <w:t>内申请人、利害关系人可提出听证申请。 </w:t>
      </w:r>
    </w:p>
    <w:p>
      <w:pPr>
        <w:spacing w:line="360" w:lineRule="auto"/>
        <w:ind w:firstLine="420" w:firstLineChars="200"/>
        <w:rPr>
          <w:rFonts w:hint="eastAsia" w:ascii="宋体" w:hAnsi="宋体"/>
          <w:szCs w:val="21"/>
        </w:rPr>
      </w:pPr>
      <w:r>
        <w:rPr>
          <w:rFonts w:hint="eastAsia" w:ascii="宋体" w:hAnsi="宋体"/>
          <w:szCs w:val="21"/>
        </w:rPr>
        <w:t>公示日期：20</w:t>
      </w:r>
      <w:r>
        <w:rPr>
          <w:rFonts w:hint="eastAsia" w:ascii="宋体" w:hAnsi="宋体"/>
          <w:szCs w:val="21"/>
          <w:lang w:val="en-US" w:eastAsia="zh-CN"/>
        </w:rPr>
        <w:t>24</w:t>
      </w:r>
      <w:r>
        <w:rPr>
          <w:rFonts w:hint="eastAsia" w:ascii="宋体" w:hAnsi="宋体"/>
          <w:szCs w:val="21"/>
        </w:rPr>
        <w:t>年</w:t>
      </w:r>
      <w:r>
        <w:rPr>
          <w:rFonts w:hint="eastAsia" w:ascii="宋体" w:hAnsi="宋体"/>
          <w:szCs w:val="21"/>
          <w:lang w:val="en-US" w:eastAsia="zh-CN"/>
        </w:rPr>
        <w:t>01</w:t>
      </w:r>
      <w:r>
        <w:rPr>
          <w:rFonts w:hint="eastAsia" w:ascii="宋体" w:hAnsi="宋体"/>
          <w:szCs w:val="21"/>
        </w:rPr>
        <w:t>月</w:t>
      </w:r>
      <w:r>
        <w:rPr>
          <w:rFonts w:hint="eastAsia" w:ascii="宋体" w:hAnsi="宋体"/>
          <w:szCs w:val="21"/>
          <w:lang w:val="en-US" w:eastAsia="zh-CN"/>
        </w:rPr>
        <w:t>17</w:t>
      </w:r>
      <w:r>
        <w:rPr>
          <w:rFonts w:hint="eastAsia" w:ascii="宋体" w:hAnsi="宋体"/>
          <w:szCs w:val="21"/>
        </w:rPr>
        <w:t>日</w:t>
      </w:r>
    </w:p>
    <w:p>
      <w:pPr>
        <w:spacing w:line="360" w:lineRule="auto"/>
        <w:ind w:firstLine="420" w:firstLineChars="200"/>
        <w:rPr>
          <w:rFonts w:ascii="宋体" w:hAnsi="宋体"/>
          <w:szCs w:val="21"/>
        </w:rPr>
      </w:pPr>
      <w:r>
        <w:rPr>
          <w:rFonts w:hint="eastAsia" w:ascii="宋体" w:hAnsi="宋体"/>
          <w:szCs w:val="21"/>
        </w:rPr>
        <w:t>联系电话（传真）：89177925</w:t>
      </w:r>
    </w:p>
    <w:p>
      <w:pPr>
        <w:spacing w:line="360" w:lineRule="auto"/>
        <w:ind w:firstLine="420" w:firstLineChars="200"/>
        <w:rPr>
          <w:rFonts w:ascii="宋体" w:hAnsi="宋体"/>
          <w:szCs w:val="21"/>
        </w:rPr>
      </w:pPr>
      <w:r>
        <w:rPr>
          <w:rFonts w:hint="eastAsia" w:ascii="宋体" w:hAnsi="宋体"/>
          <w:szCs w:val="21"/>
        </w:rPr>
        <w:t>通讯地址：长春市</w:t>
      </w:r>
      <w:r>
        <w:rPr>
          <w:rFonts w:hint="eastAsia" w:ascii="宋体" w:hAnsi="宋体"/>
          <w:szCs w:val="21"/>
          <w:lang w:eastAsia="zh-CN"/>
        </w:rPr>
        <w:t>二道区惠工路</w:t>
      </w:r>
      <w:r>
        <w:rPr>
          <w:rFonts w:hint="eastAsia" w:ascii="宋体" w:hAnsi="宋体"/>
          <w:szCs w:val="21"/>
          <w:lang w:val="en-US" w:eastAsia="zh-CN"/>
        </w:rPr>
        <w:t>799</w:t>
      </w:r>
      <w:r>
        <w:rPr>
          <w:rFonts w:hint="eastAsia" w:ascii="宋体" w:hAnsi="宋体"/>
          <w:szCs w:val="21"/>
        </w:rPr>
        <w:t>号</w:t>
      </w:r>
    </w:p>
    <w:p>
      <w:pPr>
        <w:spacing w:line="360" w:lineRule="auto"/>
        <w:ind w:firstLine="420" w:firstLineChars="200"/>
        <w:rPr>
          <w:rFonts w:hint="eastAsia" w:ascii="宋体" w:hAnsi="宋体" w:eastAsia="宋体" w:cs="宋体"/>
          <w:sz w:val="21"/>
          <w:szCs w:val="21"/>
        </w:rPr>
      </w:pPr>
      <w:r>
        <w:rPr>
          <w:rFonts w:hint="eastAsia" w:ascii="宋体" w:hAnsi="宋体"/>
          <w:szCs w:val="21"/>
        </w:rPr>
        <w:t>邮    编：130000</w:t>
      </w:r>
    </w:p>
    <w:tbl>
      <w:tblPr>
        <w:tblStyle w:val="3"/>
        <w:tblpPr w:leftFromText="180" w:rightFromText="180" w:vertAnchor="text" w:horzAnchor="margin" w:tblpY="155"/>
        <w:tblW w:w="9661"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
      <w:tblGrid>
        <w:gridCol w:w="1497"/>
        <w:gridCol w:w="1497"/>
        <w:gridCol w:w="1498"/>
        <w:gridCol w:w="1497"/>
        <w:gridCol w:w="1498"/>
        <w:gridCol w:w="217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497"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b/>
                <w:bCs/>
                <w:kern w:val="0"/>
                <w:sz w:val="21"/>
                <w:szCs w:val="21"/>
              </w:rPr>
              <w:t>项目名称</w:t>
            </w:r>
          </w:p>
        </w:tc>
        <w:tc>
          <w:tcPr>
            <w:tcW w:w="1497"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b/>
                <w:bCs/>
                <w:kern w:val="0"/>
                <w:sz w:val="21"/>
                <w:szCs w:val="21"/>
              </w:rPr>
              <w:t>建设地点</w:t>
            </w:r>
          </w:p>
        </w:tc>
        <w:tc>
          <w:tcPr>
            <w:tcW w:w="1498"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b/>
                <w:bCs/>
                <w:kern w:val="0"/>
                <w:sz w:val="21"/>
                <w:szCs w:val="21"/>
              </w:rPr>
              <w:t>建设单位</w:t>
            </w:r>
          </w:p>
        </w:tc>
        <w:tc>
          <w:tcPr>
            <w:tcW w:w="1497"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b/>
                <w:bCs/>
                <w:kern w:val="0"/>
                <w:sz w:val="21"/>
                <w:szCs w:val="21"/>
              </w:rPr>
              <w:t>环境影响评价机构</w:t>
            </w:r>
          </w:p>
        </w:tc>
        <w:tc>
          <w:tcPr>
            <w:tcW w:w="1498" w:type="dxa"/>
            <w:tcBorders>
              <w:top w:val="single" w:color="000000" w:sz="4" w:space="0"/>
              <w:left w:val="nil"/>
              <w:bottom w:val="single" w:color="000000"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项目概况</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kern w:val="0"/>
                <w:sz w:val="21"/>
                <w:szCs w:val="21"/>
              </w:rPr>
            </w:pPr>
            <w:r>
              <w:rPr>
                <w:rStyle w:val="6"/>
                <w:rFonts w:hint="eastAsia" w:ascii="宋体" w:hAnsi="宋体" w:eastAsia="宋体" w:cs="宋体"/>
                <w:sz w:val="21"/>
                <w:szCs w:val="21"/>
              </w:rPr>
              <w:t>主要环境影响及预防或者减轻不良影响的对策和措施</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trHeight w:val="5430" w:hRule="atLeast"/>
        </w:trPr>
        <w:tc>
          <w:tcPr>
            <w:tcW w:w="149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r>
              <w:rPr>
                <w:rFonts w:hint="eastAsia" w:ascii="宋体" w:hAnsi="宋体" w:cs="宋体"/>
                <w:b w:val="0"/>
                <w:bCs w:val="0"/>
                <w:color w:val="000000"/>
                <w:kern w:val="0"/>
                <w:sz w:val="21"/>
                <w:szCs w:val="21"/>
                <w:lang w:val="en-US" w:eastAsia="zh-CN" w:bidi="ar"/>
              </w:rPr>
              <w:t>长春国际物流经济开发区智能家居产业园区燃气锅炉建设项目</w:t>
            </w: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tc>
        <w:tc>
          <w:tcPr>
            <w:tcW w:w="149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r>
              <w:rPr>
                <w:rFonts w:hint="eastAsia" w:ascii="宋体" w:hAnsi="宋体" w:cs="宋体"/>
                <w:b w:val="0"/>
                <w:bCs w:val="0"/>
                <w:color w:val="000000"/>
                <w:kern w:val="0"/>
                <w:sz w:val="21"/>
                <w:szCs w:val="21"/>
                <w:lang w:val="en-US" w:eastAsia="zh-CN" w:bidi="ar"/>
              </w:rPr>
              <w:t>吉林省长春市二道区长春国际物流经济开发区智能家居产业园区</w:t>
            </w:r>
            <w:r>
              <w:rPr>
                <w:rFonts w:hint="default" w:ascii="宋体" w:hAnsi="宋体" w:cs="宋体"/>
                <w:b w:val="0"/>
                <w:bCs w:val="0"/>
                <w:color w:val="000000"/>
                <w:kern w:val="0"/>
                <w:sz w:val="21"/>
                <w:szCs w:val="21"/>
                <w:lang w:val="en-US" w:eastAsia="zh-CN" w:bidi="ar"/>
              </w:rPr>
              <w:t xml:space="preserve">A4 </w:t>
            </w:r>
            <w:r>
              <w:rPr>
                <w:rFonts w:hint="eastAsia" w:ascii="宋体" w:hAnsi="宋体" w:cs="宋体"/>
                <w:b w:val="0"/>
                <w:bCs w:val="0"/>
                <w:color w:val="000000"/>
                <w:kern w:val="0"/>
                <w:sz w:val="21"/>
                <w:szCs w:val="21"/>
                <w:lang w:val="en-US" w:eastAsia="zh-CN" w:bidi="ar"/>
              </w:rPr>
              <w:t xml:space="preserve">号厂房西 </w:t>
            </w: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r>
              <w:rPr>
                <w:rFonts w:hint="eastAsia" w:ascii="宋体" w:hAnsi="宋体" w:cs="宋体"/>
                <w:b w:val="0"/>
                <w:bCs w:val="0"/>
                <w:color w:val="000000"/>
                <w:kern w:val="0"/>
                <w:sz w:val="21"/>
                <w:szCs w:val="21"/>
                <w:lang w:val="en-US" w:eastAsia="zh-CN" w:bidi="ar"/>
              </w:rPr>
              <w:t>南侧</w:t>
            </w: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r>
              <w:rPr>
                <w:rFonts w:hint="eastAsia" w:ascii="宋体" w:hAnsi="宋体" w:cs="宋体"/>
                <w:b w:val="0"/>
                <w:bCs w:val="0"/>
                <w:color w:val="000000"/>
                <w:kern w:val="0"/>
                <w:sz w:val="21"/>
                <w:szCs w:val="21"/>
                <w:lang w:val="en-US" w:eastAsia="zh-CN" w:bidi="ar"/>
              </w:rPr>
              <w:t xml:space="preserve"> </w:t>
            </w:r>
          </w:p>
          <w:p>
            <w:pPr>
              <w:keepNext w:val="0"/>
              <w:keepLines w:val="0"/>
              <w:widowControl/>
              <w:suppressLineNumbers w:val="0"/>
              <w:jc w:val="center"/>
              <w:rPr>
                <w:rFonts w:hint="default" w:ascii="宋体" w:hAnsi="宋体" w:cs="宋体"/>
                <w:b w:val="0"/>
                <w:bCs w:val="0"/>
                <w:color w:val="000000"/>
                <w:kern w:val="0"/>
                <w:sz w:val="21"/>
                <w:szCs w:val="21"/>
                <w:lang w:val="en-US" w:eastAsia="zh-CN" w:bidi="ar"/>
              </w:rPr>
            </w:pPr>
          </w:p>
        </w:tc>
        <w:tc>
          <w:tcPr>
            <w:tcW w:w="149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r>
              <w:rPr>
                <w:rFonts w:hint="eastAsia" w:ascii="宋体" w:hAnsi="宋体" w:cs="宋体"/>
                <w:b w:val="0"/>
                <w:bCs w:val="0"/>
                <w:color w:val="000000"/>
                <w:kern w:val="0"/>
                <w:sz w:val="21"/>
                <w:szCs w:val="21"/>
                <w:lang w:val="en-US" w:eastAsia="zh-CN" w:bidi="ar"/>
              </w:rPr>
              <w:t>长春市瑞通投资有限公司</w:t>
            </w:r>
          </w:p>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p>
        </w:tc>
        <w:tc>
          <w:tcPr>
            <w:tcW w:w="149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rPr>
                <w:rFonts w:hint="eastAsia" w:ascii="宋体" w:hAnsi="宋体" w:cs="宋体"/>
                <w:b w:val="0"/>
                <w:bCs w:val="0"/>
                <w:color w:val="000000"/>
                <w:kern w:val="0"/>
                <w:sz w:val="21"/>
                <w:szCs w:val="21"/>
                <w:lang w:val="en-US" w:eastAsia="zh-CN" w:bidi="ar"/>
              </w:rPr>
            </w:pPr>
            <w:r>
              <w:rPr>
                <w:rFonts w:hint="eastAsia" w:ascii="宋体" w:hAnsi="宋体" w:cs="宋体"/>
                <w:b w:val="0"/>
                <w:bCs w:val="0"/>
                <w:color w:val="000000"/>
                <w:kern w:val="0"/>
                <w:sz w:val="21"/>
                <w:szCs w:val="21"/>
                <w:lang w:val="en-US" w:eastAsia="zh-CN" w:bidi="ar"/>
              </w:rPr>
              <w:t>吉林省鑫淼环保科技有限公司</w:t>
            </w:r>
          </w:p>
        </w:tc>
        <w:tc>
          <w:tcPr>
            <w:tcW w:w="149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rPr>
                <w:rFonts w:hint="eastAsia" w:ascii="宋体" w:hAnsi="宋体" w:cs="宋体"/>
                <w:b w:val="0"/>
                <w:bCs w:val="0"/>
                <w:color w:val="000000"/>
                <w:kern w:val="0"/>
                <w:sz w:val="21"/>
                <w:szCs w:val="21"/>
                <w:lang w:val="en-US" w:eastAsia="zh-CN" w:bidi="ar"/>
              </w:rPr>
            </w:pPr>
            <w:r>
              <w:rPr>
                <w:rFonts w:hint="eastAsia" w:ascii="宋体" w:hAnsi="宋体" w:cs="宋体"/>
                <w:b w:val="0"/>
                <w:bCs w:val="0"/>
                <w:color w:val="000000"/>
                <w:kern w:val="0"/>
                <w:sz w:val="21"/>
                <w:szCs w:val="21"/>
                <w:lang w:val="en-US" w:eastAsia="zh-CN" w:bidi="ar"/>
              </w:rPr>
              <w:t xml:space="preserve">   </w:t>
            </w:r>
          </w:p>
          <w:p>
            <w:pPr>
              <w:spacing w:line="360" w:lineRule="auto"/>
              <w:ind w:firstLine="210" w:firstLineChars="100"/>
              <w:rPr>
                <w:rFonts w:hint="default" w:ascii="宋体" w:hAnsi="宋体" w:cs="宋体"/>
                <w:b w:val="0"/>
                <w:bCs w:val="0"/>
                <w:color w:val="000000"/>
                <w:kern w:val="0"/>
                <w:sz w:val="21"/>
                <w:szCs w:val="21"/>
                <w:lang w:val="en-US" w:eastAsia="zh-CN" w:bidi="ar"/>
              </w:rPr>
            </w:pPr>
            <w:r>
              <w:rPr>
                <w:rFonts w:hint="eastAsia" w:ascii="宋体" w:hAnsi="宋体" w:cs="宋体"/>
                <w:b w:val="0"/>
                <w:bCs w:val="0"/>
                <w:color w:val="000000"/>
                <w:kern w:val="0"/>
                <w:sz w:val="21"/>
                <w:szCs w:val="21"/>
                <w:lang w:val="en-US" w:eastAsia="zh-CN" w:bidi="ar"/>
              </w:rPr>
              <w:t xml:space="preserve">   该项目位于长春市二道区长春国际物流经济开发区智能家居产业园区A4号厂房西南侧。占地面积：117.45㎡，建筑面积:117.45㎡，项目总投资600万元、环保投资12.5万。新建4台3t/h天然气热水锅炉。</w:t>
            </w:r>
          </w:p>
          <w:p>
            <w:pPr>
              <w:spacing w:line="360" w:lineRule="auto"/>
              <w:ind w:firstLine="210" w:firstLineChars="100"/>
              <w:rPr>
                <w:rFonts w:hint="eastAsia" w:ascii="宋体" w:hAnsi="宋体" w:cs="宋体"/>
                <w:b w:val="0"/>
                <w:bCs w:val="0"/>
                <w:color w:val="000000"/>
                <w:kern w:val="0"/>
                <w:sz w:val="21"/>
                <w:szCs w:val="21"/>
                <w:lang w:val="en-US" w:eastAsia="zh-CN" w:bidi="ar"/>
              </w:rPr>
            </w:pPr>
          </w:p>
          <w:p>
            <w:pPr>
              <w:widowControl/>
              <w:rPr>
                <w:rFonts w:hint="eastAsia" w:ascii="宋体" w:hAnsi="宋体" w:eastAsia="宋体" w:cs="宋体"/>
                <w:kern w:val="0"/>
                <w:sz w:val="21"/>
                <w:szCs w:val="21"/>
                <w:lang w:val="en-US" w:eastAsia="zh-CN"/>
              </w:rPr>
            </w:pPr>
          </w:p>
        </w:tc>
        <w:tc>
          <w:tcPr>
            <w:tcW w:w="2174" w:type="dxa"/>
            <w:tcBorders>
              <w:top w:val="single" w:color="auto" w:sz="4" w:space="0"/>
              <w:left w:val="nil"/>
              <w:bottom w:val="single" w:color="000000" w:sz="4" w:space="0"/>
              <w:right w:val="single" w:color="000000" w:sz="4" w:space="0"/>
            </w:tcBorders>
            <w:noWrap w:val="0"/>
            <w:vAlign w:val="top"/>
          </w:tcPr>
          <w:p>
            <w:pPr>
              <w:keepNext w:val="0"/>
              <w:keepLines w:val="0"/>
              <w:widowControl/>
              <w:suppressLineNumbers w:val="0"/>
              <w:ind w:firstLine="420" w:firstLineChars="200"/>
              <w:jc w:val="left"/>
              <w:rPr>
                <w:rFonts w:hint="eastAsia" w:ascii="宋体" w:hAnsi="宋体" w:cs="宋体"/>
                <w:b w:val="0"/>
                <w:bCs w:val="0"/>
                <w:color w:val="000000"/>
                <w:kern w:val="0"/>
                <w:sz w:val="21"/>
                <w:szCs w:val="21"/>
                <w:lang w:val="en-US" w:eastAsia="zh-CN" w:bidi="ar"/>
              </w:rPr>
            </w:pPr>
            <w:r>
              <w:rPr>
                <w:rFonts w:hint="eastAsia" w:ascii="宋体" w:hAnsi="宋体" w:cs="宋体"/>
                <w:b w:val="0"/>
                <w:bCs w:val="0"/>
                <w:color w:val="000000"/>
                <w:kern w:val="0"/>
                <w:sz w:val="21"/>
                <w:szCs w:val="21"/>
                <w:lang w:val="en-US" w:eastAsia="zh-CN" w:bidi="ar"/>
              </w:rPr>
              <w:t>（一）本项目废水主要为生活污水、锅炉排污水和软化水系统排污水，污水经市政污水管网汇入英俊污水处理厂，需满足《污水综合排放标准》（GB8978-1996）表4中三级排放标准限值和《污水排入城镇下水道水质标准》（GB/T31962-2015）B级标准排放限值要求。</w:t>
            </w:r>
          </w:p>
          <w:p>
            <w:pPr>
              <w:keepNext w:val="0"/>
              <w:keepLines w:val="0"/>
              <w:widowControl/>
              <w:suppressLineNumbers w:val="0"/>
              <w:ind w:firstLine="420" w:firstLineChars="200"/>
              <w:jc w:val="left"/>
              <w:rPr>
                <w:rFonts w:hint="eastAsia" w:ascii="宋体" w:hAnsi="宋体" w:cs="宋体"/>
                <w:b w:val="0"/>
                <w:bCs w:val="0"/>
                <w:color w:val="000000"/>
                <w:kern w:val="0"/>
                <w:sz w:val="21"/>
                <w:szCs w:val="21"/>
                <w:lang w:val="en-US" w:eastAsia="zh-CN" w:bidi="ar"/>
              </w:rPr>
            </w:pPr>
            <w:r>
              <w:rPr>
                <w:rFonts w:hint="eastAsia" w:ascii="宋体" w:hAnsi="宋体" w:cs="宋体"/>
                <w:b w:val="0"/>
                <w:bCs w:val="0"/>
                <w:color w:val="000000"/>
                <w:kern w:val="0"/>
                <w:sz w:val="21"/>
                <w:szCs w:val="21"/>
                <w:lang w:val="en-US" w:eastAsia="zh-CN" w:bidi="ar"/>
              </w:rPr>
              <w:t>（二）天然气锅炉烟气经低氮燃烧处理后锅炉废气经过不低于20.25米高烟囱达标排放；废气需满足《锅炉大气污染物排放标准》（GB13271-2014）中表3大气污染物特别排放限值要求。</w:t>
            </w:r>
          </w:p>
          <w:p>
            <w:pPr>
              <w:keepNext w:val="0"/>
              <w:keepLines w:val="0"/>
              <w:widowControl/>
              <w:suppressLineNumbers w:val="0"/>
              <w:ind w:firstLine="420" w:firstLineChars="200"/>
              <w:jc w:val="left"/>
              <w:rPr>
                <w:rFonts w:hint="eastAsia" w:ascii="宋体" w:hAnsi="宋体" w:cs="宋体"/>
                <w:b w:val="0"/>
                <w:bCs w:val="0"/>
                <w:color w:val="000000"/>
                <w:kern w:val="0"/>
                <w:sz w:val="21"/>
                <w:szCs w:val="21"/>
                <w:lang w:val="en-US" w:eastAsia="zh-CN" w:bidi="ar"/>
              </w:rPr>
            </w:pPr>
            <w:r>
              <w:rPr>
                <w:rFonts w:hint="eastAsia" w:ascii="宋体" w:hAnsi="宋体" w:cs="宋体"/>
                <w:b w:val="0"/>
                <w:bCs w:val="0"/>
                <w:color w:val="000000"/>
                <w:kern w:val="0"/>
                <w:sz w:val="21"/>
                <w:szCs w:val="21"/>
                <w:lang w:val="en-US" w:eastAsia="zh-CN" w:bidi="ar"/>
              </w:rPr>
              <w:t>（三）采取有效隔声减震措施，施工期噪声执行《建筑施工场界环境噪声排放标准》（GB12523-2011）;运营期厂界处噪声执行《工业企业厂界环境噪声排放标准》（GB12348-2008）中3类标准要求。</w:t>
            </w:r>
          </w:p>
          <w:p>
            <w:pPr>
              <w:keepNext w:val="0"/>
              <w:keepLines w:val="0"/>
              <w:widowControl/>
              <w:suppressLineNumbers w:val="0"/>
              <w:ind w:firstLine="420" w:firstLineChars="200"/>
              <w:jc w:val="left"/>
              <w:rPr>
                <w:rFonts w:hint="eastAsia" w:ascii="宋体" w:hAnsi="宋体" w:cs="宋体"/>
                <w:b w:val="0"/>
                <w:bCs w:val="0"/>
                <w:color w:val="000000"/>
                <w:kern w:val="0"/>
                <w:sz w:val="21"/>
                <w:szCs w:val="21"/>
                <w:lang w:val="en-US" w:eastAsia="zh-CN" w:bidi="ar"/>
              </w:rPr>
            </w:pPr>
            <w:r>
              <w:rPr>
                <w:rFonts w:hint="eastAsia" w:ascii="宋体" w:hAnsi="宋体" w:cs="宋体"/>
                <w:b w:val="0"/>
                <w:bCs w:val="0"/>
                <w:color w:val="000000"/>
                <w:kern w:val="0"/>
                <w:sz w:val="21"/>
                <w:szCs w:val="21"/>
                <w:lang w:val="en-US" w:eastAsia="zh-CN" w:bidi="ar"/>
              </w:rPr>
              <w:t>（四）生活垃圾由环卫部门统一收集处理，软化水制备固废由厂家更换回收处理。</w:t>
            </w:r>
          </w:p>
          <w:p>
            <w:pPr>
              <w:keepNext w:val="0"/>
              <w:keepLines w:val="0"/>
              <w:widowControl/>
              <w:suppressLineNumbers w:val="0"/>
              <w:ind w:firstLine="420" w:firstLineChars="200"/>
              <w:jc w:val="left"/>
              <w:rPr>
                <w:rFonts w:hint="eastAsia" w:ascii="宋体" w:hAnsi="宋体" w:cs="宋体"/>
                <w:b w:val="0"/>
                <w:bCs w:val="0"/>
                <w:color w:val="000000"/>
                <w:kern w:val="0"/>
                <w:sz w:val="21"/>
                <w:szCs w:val="21"/>
                <w:lang w:val="en-US" w:eastAsia="zh-CN" w:bidi="ar"/>
              </w:rPr>
            </w:pPr>
            <w:r>
              <w:rPr>
                <w:rFonts w:hint="eastAsia" w:ascii="宋体" w:hAnsi="宋体" w:cs="宋体"/>
                <w:b w:val="0"/>
                <w:bCs w:val="0"/>
                <w:color w:val="000000"/>
                <w:kern w:val="0"/>
                <w:sz w:val="21"/>
                <w:szCs w:val="21"/>
                <w:lang w:val="en-US" w:eastAsia="zh-CN" w:bidi="ar"/>
              </w:rPr>
              <w:t>（五）严格落实环评提出的各项环境风险防范措施和其他环境管理要求。</w:t>
            </w:r>
          </w:p>
          <w:p>
            <w:pPr>
              <w:keepNext w:val="0"/>
              <w:keepLines w:val="0"/>
              <w:widowControl/>
              <w:suppressLineNumbers w:val="0"/>
              <w:spacing w:line="360" w:lineRule="auto"/>
              <w:ind w:firstLine="420" w:firstLineChars="200"/>
              <w:jc w:val="left"/>
              <w:rPr>
                <w:rFonts w:hint="eastAsia" w:ascii="宋体" w:hAnsi="宋体" w:cs="宋体"/>
                <w:b w:val="0"/>
                <w:bCs w:val="0"/>
                <w:color w:val="000000"/>
                <w:kern w:val="0"/>
                <w:sz w:val="21"/>
                <w:szCs w:val="21"/>
                <w:lang w:val="en-US" w:eastAsia="zh-CN" w:bidi="ar"/>
              </w:rPr>
            </w:pPr>
            <w:bookmarkStart w:id="0" w:name="_GoBack"/>
            <w:bookmarkEnd w:id="0"/>
          </w:p>
          <w:p>
            <w:pPr>
              <w:keepNext w:val="0"/>
              <w:keepLines w:val="0"/>
              <w:widowControl/>
              <w:suppressLineNumbers w:val="0"/>
              <w:spacing w:line="360" w:lineRule="auto"/>
              <w:ind w:firstLine="420" w:firstLineChars="200"/>
              <w:jc w:val="left"/>
              <w:rPr>
                <w:rFonts w:hint="eastAsia" w:ascii="宋体" w:hAnsi="宋体" w:cs="宋体"/>
                <w:b w:val="0"/>
                <w:bCs w:val="0"/>
                <w:color w:val="000000"/>
                <w:kern w:val="0"/>
                <w:sz w:val="21"/>
                <w:szCs w:val="21"/>
                <w:lang w:val="en-US" w:eastAsia="zh-CN" w:bidi="ar"/>
              </w:rPr>
            </w:pPr>
          </w:p>
          <w:p>
            <w:pPr>
              <w:spacing w:line="520" w:lineRule="exact"/>
              <w:ind w:firstLine="210" w:firstLineChars="100"/>
              <w:rPr>
                <w:rFonts w:hint="eastAsia" w:ascii="宋体" w:hAnsi="宋体" w:eastAsia="宋体" w:cs="宋体"/>
                <w:sz w:val="21"/>
                <w:szCs w:val="21"/>
                <w:lang w:val="en-US" w:eastAsia="zh-CN"/>
              </w:rPr>
            </w:pPr>
          </w:p>
          <w:p>
            <w:pPr>
              <w:spacing w:line="520" w:lineRule="exact"/>
              <w:ind w:firstLine="210" w:firstLineChars="100"/>
              <w:rPr>
                <w:rFonts w:hint="eastAsia" w:ascii="宋体" w:hAnsi="宋体" w:eastAsia="宋体" w:cs="宋体"/>
                <w:sz w:val="21"/>
                <w:szCs w:val="21"/>
                <w:lang w:val="en-US" w:eastAsia="zh-CN"/>
              </w:rPr>
            </w:pPr>
          </w:p>
          <w:p>
            <w:pPr>
              <w:spacing w:line="560" w:lineRule="exact"/>
              <w:ind w:firstLine="210" w:firstLineChars="100"/>
              <w:rPr>
                <w:rFonts w:hint="eastAsia" w:ascii="宋体" w:hAnsi="宋体" w:eastAsia="宋体" w:cs="宋体"/>
                <w:sz w:val="21"/>
                <w:szCs w:val="21"/>
              </w:rPr>
            </w:pPr>
          </w:p>
        </w:tc>
      </w:tr>
    </w:tbl>
    <w:p>
      <w:pPr>
        <w:widowControl/>
        <w:spacing w:line="360" w:lineRule="auto"/>
        <w:jc w:val="left"/>
        <w:rPr>
          <w:rFonts w:hint="eastAsia" w:ascii="宋体" w:hAnsi="宋体" w:cs="宋体"/>
          <w:kern w:val="0"/>
          <w:sz w:val="24"/>
          <w:szCs w:val="21"/>
        </w:rPr>
      </w:pPr>
      <w:r>
        <w:rPr>
          <w:rFonts w:hint="eastAsia" w:ascii="宋体" w:hAnsi="宋体" w:cs="宋体"/>
          <w:kern w:val="0"/>
          <w:sz w:val="24"/>
          <w:szCs w:val="21"/>
        </w:rPr>
        <w:t>根据《建设项目环境影响评价政府信息公开指南（试行）》的有关规定，该环境影响报告表不含涉及国家秘密、商业秘密、个人隐私以及涉及国家安全、公共安全、经济安全和社会稳定的内容。</w:t>
      </w:r>
    </w:p>
    <w:p>
      <w:r>
        <w:rPr>
          <w:rFonts w:hint="eastAsia"/>
          <w:sz w:val="24"/>
        </w:rPr>
        <w:t xml:space="preserve">                                                   长春市</w:t>
      </w:r>
      <w:r>
        <w:rPr>
          <w:rFonts w:hint="eastAsia"/>
          <w:sz w:val="24"/>
          <w:lang w:eastAsia="zh-CN"/>
        </w:rPr>
        <w:t>生态</w:t>
      </w:r>
      <w:r>
        <w:rPr>
          <w:rFonts w:hint="eastAsia"/>
          <w:sz w:val="24"/>
        </w:rPr>
        <w:t>环境局二道</w:t>
      </w:r>
      <w:r>
        <w:rPr>
          <w:rFonts w:hint="eastAsia"/>
          <w:sz w:val="24"/>
          <w:lang w:eastAsia="zh-CN"/>
        </w:rPr>
        <w:t>区</w:t>
      </w:r>
      <w:r>
        <w:rPr>
          <w:rFonts w:hint="eastAsia"/>
          <w:sz w:val="24"/>
        </w:rPr>
        <w:t>分局</w:t>
      </w:r>
    </w:p>
    <w:sectPr>
      <w:pgSz w:w="11906" w:h="16838"/>
      <w:pgMar w:top="1440" w:right="746" w:bottom="1440" w:left="10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kNGI0ODAwYzY4NGIxYjYzZTMyOTI2NmM2ZmZhNDkifQ=="/>
  </w:docVars>
  <w:rsids>
    <w:rsidRoot w:val="50176751"/>
    <w:rsid w:val="00FB3A15"/>
    <w:rsid w:val="01CD75E7"/>
    <w:rsid w:val="023A7DB8"/>
    <w:rsid w:val="03AA40DC"/>
    <w:rsid w:val="04810DFD"/>
    <w:rsid w:val="06FD0BE3"/>
    <w:rsid w:val="097B0D6D"/>
    <w:rsid w:val="0CAA6E21"/>
    <w:rsid w:val="0D7E1B06"/>
    <w:rsid w:val="0EF83861"/>
    <w:rsid w:val="1669787A"/>
    <w:rsid w:val="176F2C71"/>
    <w:rsid w:val="18C9461D"/>
    <w:rsid w:val="1FA77F0C"/>
    <w:rsid w:val="22104388"/>
    <w:rsid w:val="263E1036"/>
    <w:rsid w:val="2C267795"/>
    <w:rsid w:val="2C630126"/>
    <w:rsid w:val="2F873DA7"/>
    <w:rsid w:val="30030473"/>
    <w:rsid w:val="33A76F60"/>
    <w:rsid w:val="36C97894"/>
    <w:rsid w:val="376E47E9"/>
    <w:rsid w:val="3A9B16E9"/>
    <w:rsid w:val="3EE22B4D"/>
    <w:rsid w:val="46D12E4A"/>
    <w:rsid w:val="4703771D"/>
    <w:rsid w:val="4AC60F56"/>
    <w:rsid w:val="4DE92D50"/>
    <w:rsid w:val="50176751"/>
    <w:rsid w:val="51D745F8"/>
    <w:rsid w:val="55AB3406"/>
    <w:rsid w:val="5BF74521"/>
    <w:rsid w:val="5EB76EF9"/>
    <w:rsid w:val="5FD627F9"/>
    <w:rsid w:val="63210AC7"/>
    <w:rsid w:val="63D8667C"/>
    <w:rsid w:val="64DA0AC0"/>
    <w:rsid w:val="6D3802B2"/>
    <w:rsid w:val="6D7B3E6A"/>
    <w:rsid w:val="6E202809"/>
    <w:rsid w:val="784E5E45"/>
    <w:rsid w:val="78E64361"/>
    <w:rsid w:val="79664A53"/>
    <w:rsid w:val="7C6F4493"/>
    <w:rsid w:val="7E713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99"/>
    <w:pPr>
      <w:jc w:val="center"/>
    </w:pPr>
    <w:rPr>
      <w:rFonts w:cs="Times New Roman"/>
      <w:sz w:val="44"/>
      <w:szCs w:val="44"/>
    </w:rPr>
  </w:style>
  <w:style w:type="paragraph" w:customStyle="1" w:styleId="5">
    <w:name w:val="样式 正文11 + 首行缩进:  2 字符"/>
    <w:basedOn w:val="1"/>
    <w:autoRedefine/>
    <w:qFormat/>
    <w:uiPriority w:val="0"/>
    <w:pPr>
      <w:spacing w:line="500" w:lineRule="exact"/>
      <w:ind w:firstLine="560" w:firstLineChars="200"/>
    </w:pPr>
    <w:rPr>
      <w:rFonts w:ascii="宋体" w:hAnsi="宋体" w:cs="宋体"/>
      <w:color w:val="FF0000"/>
      <w:sz w:val="28"/>
      <w:szCs w:val="20"/>
    </w:rPr>
  </w:style>
  <w:style w:type="character" w:customStyle="1" w:styleId="6">
    <w:name w:val="style21"/>
    <w:autoRedefine/>
    <w:qFormat/>
    <w:uiPriority w:val="0"/>
    <w:rPr>
      <w:b/>
      <w:bCs/>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739</Words>
  <Characters>789</Characters>
  <Lines>0</Lines>
  <Paragraphs>0</Paragraphs>
  <TotalTime>4</TotalTime>
  <ScaleCrop>false</ScaleCrop>
  <LinksUpToDate>false</LinksUpToDate>
  <CharactersWithSpaces>1533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2022-10-20T06:49:00Z</dcterms:created>
  <dc:creator>Administrator</dc:creator>
  <cp:lastModifiedBy>Mctracy</cp:lastModifiedBy>
  <dcterms:modified xsi:type="dcterms:W3CDTF">2024-01-17T06:00:59Z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CEF056CD11444F9395983C109555AB53</vt:lpwstr>
  </property>
</Properties>
</file>