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方正小标宋_GBK" w:eastAsia="方正小标宋_GBK"/>
          <w:sz w:val="44"/>
          <w:szCs w:val="44"/>
        </w:rPr>
      </w:pPr>
      <w:bookmarkStart w:id="0" w:name="_GoBack"/>
      <w:r>
        <w:rPr>
          <w:rFonts w:hint="eastAsia" w:ascii="方正小标宋_GBK" w:hAnsi="仿宋" w:eastAsia="方正小标宋_GBK"/>
          <w:sz w:val="44"/>
          <w:szCs w:val="44"/>
        </w:rPr>
        <w:t>二道区教育系统2020年中小学（幼儿园）安全工作要点任务分解表</w:t>
      </w:r>
    </w:p>
    <w:bookmarkEnd w:id="0"/>
    <w:tbl>
      <w:tblPr>
        <w:tblStyle w:val="4"/>
        <w:tblW w:w="9945" w:type="dxa"/>
        <w:jc w:val="center"/>
        <w:tblLayout w:type="autofit"/>
        <w:tblCellMar>
          <w:top w:w="0" w:type="dxa"/>
          <w:left w:w="108" w:type="dxa"/>
          <w:bottom w:w="0" w:type="dxa"/>
          <w:right w:w="108" w:type="dxa"/>
        </w:tblCellMar>
      </w:tblPr>
      <w:tblGrid>
        <w:gridCol w:w="481"/>
        <w:gridCol w:w="993"/>
        <w:gridCol w:w="1189"/>
        <w:gridCol w:w="6290"/>
        <w:gridCol w:w="992"/>
      </w:tblGrid>
      <w:tr>
        <w:tblPrEx>
          <w:tblCellMar>
            <w:top w:w="0" w:type="dxa"/>
            <w:left w:w="108" w:type="dxa"/>
            <w:bottom w:w="0" w:type="dxa"/>
            <w:right w:w="108" w:type="dxa"/>
          </w:tblCellMar>
        </w:tblPrEx>
        <w:trPr>
          <w:trHeight w:val="904" w:hRule="atLeast"/>
          <w:jc w:val="center"/>
        </w:trPr>
        <w:tc>
          <w:tcPr>
            <w:tcW w:w="4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项目</w:t>
            </w:r>
          </w:p>
        </w:tc>
        <w:tc>
          <w:tcPr>
            <w:tcW w:w="99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工作</w:t>
            </w:r>
          </w:p>
          <w:p>
            <w:pPr>
              <w:widowControl/>
              <w:jc w:val="center"/>
              <w:rPr>
                <w:rFonts w:ascii="宋体" w:hAnsi="宋体" w:cs="宋体"/>
                <w:b/>
                <w:bCs/>
                <w:kern w:val="0"/>
                <w:szCs w:val="21"/>
              </w:rPr>
            </w:pPr>
            <w:r>
              <w:rPr>
                <w:rFonts w:hint="eastAsia" w:ascii="宋体" w:hAnsi="宋体" w:cs="宋体"/>
                <w:b/>
                <w:bCs/>
                <w:kern w:val="0"/>
                <w:szCs w:val="21"/>
              </w:rPr>
              <w:t>项目</w:t>
            </w:r>
          </w:p>
        </w:tc>
        <w:tc>
          <w:tcPr>
            <w:tcW w:w="118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任务</w:t>
            </w:r>
          </w:p>
          <w:p>
            <w:pPr>
              <w:widowControl/>
              <w:jc w:val="center"/>
              <w:rPr>
                <w:rFonts w:ascii="宋体" w:hAnsi="宋体" w:cs="宋体"/>
                <w:b/>
                <w:bCs/>
                <w:kern w:val="0"/>
                <w:szCs w:val="21"/>
              </w:rPr>
            </w:pPr>
            <w:r>
              <w:rPr>
                <w:rFonts w:hint="eastAsia" w:ascii="宋体" w:hAnsi="宋体" w:cs="宋体"/>
                <w:b/>
                <w:bCs/>
                <w:kern w:val="0"/>
                <w:szCs w:val="21"/>
              </w:rPr>
              <w:t>内容</w:t>
            </w:r>
          </w:p>
        </w:tc>
        <w:tc>
          <w:tcPr>
            <w:tcW w:w="62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推进措施</w:t>
            </w: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落实</w:t>
            </w:r>
          </w:p>
          <w:p>
            <w:pPr>
              <w:widowControl/>
              <w:jc w:val="center"/>
              <w:rPr>
                <w:rFonts w:ascii="宋体" w:hAnsi="宋体" w:cs="宋体"/>
                <w:b/>
                <w:bCs/>
                <w:kern w:val="0"/>
                <w:szCs w:val="21"/>
              </w:rPr>
            </w:pPr>
            <w:r>
              <w:rPr>
                <w:rFonts w:hint="eastAsia" w:ascii="宋体" w:hAnsi="宋体" w:cs="宋体"/>
                <w:b/>
                <w:bCs/>
                <w:kern w:val="0"/>
                <w:szCs w:val="21"/>
              </w:rPr>
              <w:t>时限</w:t>
            </w:r>
          </w:p>
        </w:tc>
      </w:tr>
      <w:tr>
        <w:tblPrEx>
          <w:tblCellMar>
            <w:top w:w="0" w:type="dxa"/>
            <w:left w:w="108" w:type="dxa"/>
            <w:bottom w:w="0" w:type="dxa"/>
            <w:right w:w="108" w:type="dxa"/>
          </w:tblCellMar>
        </w:tblPrEx>
        <w:trPr>
          <w:trHeight w:val="690" w:hRule="atLeast"/>
          <w:jc w:val="center"/>
        </w:trPr>
        <w:tc>
          <w:tcPr>
            <w:tcW w:w="481" w:type="dxa"/>
            <w:vMerge w:val="restart"/>
            <w:tcBorders>
              <w:top w:val="nil"/>
              <w:left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一</w:t>
            </w:r>
          </w:p>
        </w:tc>
        <w:tc>
          <w:tcPr>
            <w:tcW w:w="993" w:type="dxa"/>
            <w:vMerge w:val="restart"/>
            <w:tcBorders>
              <w:top w:val="single" w:color="auto" w:sz="4" w:space="0"/>
              <w:left w:val="single" w:color="auto" w:sz="4" w:space="0"/>
              <w:right w:val="single" w:color="auto" w:sz="4" w:space="0"/>
            </w:tcBorders>
            <w:noWrap w:val="0"/>
            <w:vAlign w:val="center"/>
          </w:tcPr>
          <w:p>
            <w:pPr>
              <w:widowControl/>
              <w:jc w:val="left"/>
              <w:rPr>
                <w:rFonts w:ascii="宋体" w:hAnsi="宋体" w:cs="宋体"/>
                <w:b/>
                <w:bCs/>
                <w:kern w:val="0"/>
                <w:szCs w:val="21"/>
              </w:rPr>
            </w:pPr>
            <w:r>
              <w:rPr>
                <w:rFonts w:hint="eastAsia" w:ascii="宋体" w:hAnsi="宋体" w:cs="宋体"/>
                <w:kern w:val="0"/>
                <w:szCs w:val="21"/>
              </w:rPr>
              <w:t>强化责任落实，进一步完善安全责任体系规范建设</w:t>
            </w:r>
          </w:p>
        </w:tc>
        <w:tc>
          <w:tcPr>
            <w:tcW w:w="118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宋体" w:hAnsi="宋体" w:cs="宋体"/>
                <w:kern w:val="0"/>
                <w:sz w:val="20"/>
                <w:szCs w:val="20"/>
              </w:rPr>
            </w:pPr>
            <w:r>
              <w:rPr>
                <w:rFonts w:hint="eastAsia" w:ascii="宋体" w:hAnsi="宋体" w:cs="宋体"/>
                <w:kern w:val="0"/>
                <w:sz w:val="20"/>
                <w:szCs w:val="20"/>
              </w:rPr>
              <w:t>1</w:t>
            </w:r>
          </w:p>
          <w:p>
            <w:pPr>
              <w:widowControl/>
              <w:spacing w:line="260" w:lineRule="exact"/>
              <w:jc w:val="center"/>
              <w:rPr>
                <w:rFonts w:ascii="宋体" w:hAnsi="宋体" w:cs="宋体"/>
                <w:kern w:val="0"/>
                <w:sz w:val="20"/>
                <w:szCs w:val="20"/>
              </w:rPr>
            </w:pPr>
            <w:r>
              <w:rPr>
                <w:rFonts w:hint="eastAsia" w:ascii="宋体" w:hAnsi="宋体" w:cs="宋体"/>
                <w:kern w:val="0"/>
                <w:sz w:val="20"/>
                <w:szCs w:val="20"/>
              </w:rPr>
              <w:t>落实教育行政部门监管责任</w:t>
            </w:r>
          </w:p>
        </w:tc>
        <w:tc>
          <w:tcPr>
            <w:tcW w:w="629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s="宋体"/>
                <w:kern w:val="0"/>
                <w:sz w:val="20"/>
                <w:szCs w:val="20"/>
              </w:rPr>
            </w:pPr>
            <w:r>
              <w:rPr>
                <w:rFonts w:hint="eastAsia" w:ascii="宋体" w:hAnsi="宋体" w:cs="仿宋_GB2312"/>
                <w:sz w:val="20"/>
                <w:szCs w:val="20"/>
              </w:rPr>
              <w:t>根据《二道区教育系统安全稳定工作领导责任制实施细则》，明确分管领导、各科室（部门）按照业务职能的直接责任及包保责任清单。</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全年</w:t>
            </w:r>
          </w:p>
        </w:tc>
      </w:tr>
      <w:tr>
        <w:tblPrEx>
          <w:tblCellMar>
            <w:top w:w="0" w:type="dxa"/>
            <w:left w:w="108" w:type="dxa"/>
            <w:bottom w:w="0" w:type="dxa"/>
            <w:right w:w="108" w:type="dxa"/>
          </w:tblCellMar>
        </w:tblPrEx>
        <w:trPr>
          <w:trHeight w:val="430" w:hRule="atLeast"/>
          <w:jc w:val="center"/>
        </w:trPr>
        <w:tc>
          <w:tcPr>
            <w:tcW w:w="481" w:type="dxa"/>
            <w:vMerge w:val="continue"/>
            <w:tcBorders>
              <w:left w:val="single" w:color="auto" w:sz="4" w:space="0"/>
              <w:right w:val="single" w:color="auto" w:sz="4" w:space="0"/>
            </w:tcBorders>
            <w:noWrap w:val="0"/>
            <w:vAlign w:val="center"/>
          </w:tcPr>
          <w:p>
            <w:pPr>
              <w:widowControl/>
              <w:jc w:val="left"/>
              <w:rPr>
                <w:rFonts w:ascii="宋体" w:hAnsi="宋体" w:cs="宋体"/>
                <w:b/>
                <w:bCs/>
                <w:kern w:val="0"/>
                <w:szCs w:val="21"/>
              </w:rPr>
            </w:pPr>
          </w:p>
        </w:tc>
        <w:tc>
          <w:tcPr>
            <w:tcW w:w="993" w:type="dxa"/>
            <w:vMerge w:val="continue"/>
            <w:tcBorders>
              <w:left w:val="single" w:color="auto" w:sz="4" w:space="0"/>
              <w:right w:val="single" w:color="auto" w:sz="4" w:space="0"/>
            </w:tcBorders>
            <w:noWrap w:val="0"/>
            <w:vAlign w:val="center"/>
          </w:tcPr>
          <w:p>
            <w:pPr>
              <w:widowControl/>
              <w:jc w:val="left"/>
              <w:rPr>
                <w:rFonts w:ascii="宋体" w:hAnsi="宋体" w:cs="宋体"/>
                <w:b/>
                <w:bCs/>
                <w:kern w:val="0"/>
                <w:szCs w:val="21"/>
              </w:rPr>
            </w:pPr>
          </w:p>
        </w:tc>
        <w:tc>
          <w:tcPr>
            <w:tcW w:w="11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kern w:val="0"/>
                <w:sz w:val="20"/>
                <w:szCs w:val="20"/>
              </w:rPr>
            </w:pPr>
          </w:p>
        </w:tc>
        <w:tc>
          <w:tcPr>
            <w:tcW w:w="629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s="宋体"/>
                <w:kern w:val="0"/>
                <w:sz w:val="20"/>
                <w:szCs w:val="20"/>
              </w:rPr>
            </w:pPr>
            <w:r>
              <w:rPr>
                <w:rFonts w:hint="eastAsia" w:ascii="宋体" w:hAnsi="宋体" w:cs="仿宋_GB2312"/>
                <w:sz w:val="20"/>
                <w:szCs w:val="20"/>
              </w:rPr>
              <w:t>召开校园安全工作专项工作部署会。</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3月</w:t>
            </w:r>
          </w:p>
          <w:p>
            <w:pPr>
              <w:widowControl/>
              <w:jc w:val="center"/>
              <w:rPr>
                <w:rFonts w:ascii="宋体" w:hAnsi="宋体" w:cs="宋体"/>
                <w:kern w:val="0"/>
                <w:szCs w:val="21"/>
              </w:rPr>
            </w:pPr>
            <w:r>
              <w:rPr>
                <w:rFonts w:hint="eastAsia" w:ascii="宋体" w:hAnsi="宋体" w:cs="宋体"/>
                <w:kern w:val="0"/>
                <w:szCs w:val="21"/>
              </w:rPr>
              <w:t>9月</w:t>
            </w:r>
          </w:p>
        </w:tc>
      </w:tr>
      <w:tr>
        <w:tblPrEx>
          <w:tblCellMar>
            <w:top w:w="0" w:type="dxa"/>
            <w:left w:w="108" w:type="dxa"/>
            <w:bottom w:w="0" w:type="dxa"/>
            <w:right w:w="108" w:type="dxa"/>
          </w:tblCellMar>
        </w:tblPrEx>
        <w:trPr>
          <w:trHeight w:val="480" w:hRule="atLeast"/>
          <w:jc w:val="center"/>
        </w:trPr>
        <w:tc>
          <w:tcPr>
            <w:tcW w:w="481" w:type="dxa"/>
            <w:vMerge w:val="continue"/>
            <w:tcBorders>
              <w:left w:val="single" w:color="auto" w:sz="4" w:space="0"/>
              <w:right w:val="single" w:color="auto" w:sz="4" w:space="0"/>
            </w:tcBorders>
            <w:noWrap w:val="0"/>
            <w:vAlign w:val="center"/>
          </w:tcPr>
          <w:p>
            <w:pPr>
              <w:widowControl/>
              <w:jc w:val="left"/>
              <w:rPr>
                <w:rFonts w:ascii="宋体" w:hAnsi="宋体" w:cs="宋体"/>
                <w:b/>
                <w:bCs/>
                <w:kern w:val="0"/>
                <w:szCs w:val="21"/>
              </w:rPr>
            </w:pPr>
          </w:p>
        </w:tc>
        <w:tc>
          <w:tcPr>
            <w:tcW w:w="993" w:type="dxa"/>
            <w:vMerge w:val="continue"/>
            <w:tcBorders>
              <w:left w:val="single" w:color="auto" w:sz="4" w:space="0"/>
              <w:right w:val="single" w:color="auto" w:sz="4" w:space="0"/>
            </w:tcBorders>
            <w:noWrap w:val="0"/>
            <w:vAlign w:val="center"/>
          </w:tcPr>
          <w:p>
            <w:pPr>
              <w:widowControl/>
              <w:jc w:val="left"/>
              <w:rPr>
                <w:rFonts w:ascii="宋体" w:hAnsi="宋体" w:cs="宋体"/>
                <w:b/>
                <w:bCs/>
                <w:kern w:val="0"/>
                <w:szCs w:val="21"/>
              </w:rPr>
            </w:pPr>
          </w:p>
        </w:tc>
        <w:tc>
          <w:tcPr>
            <w:tcW w:w="11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kern w:val="0"/>
                <w:sz w:val="20"/>
                <w:szCs w:val="20"/>
              </w:rPr>
            </w:pPr>
          </w:p>
        </w:tc>
        <w:tc>
          <w:tcPr>
            <w:tcW w:w="62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cs="宋体"/>
                <w:kern w:val="0"/>
                <w:sz w:val="20"/>
                <w:szCs w:val="20"/>
              </w:rPr>
            </w:pPr>
            <w:r>
              <w:rPr>
                <w:rFonts w:hint="eastAsia" w:ascii="宋体" w:hAnsi="宋体" w:cs="仿宋_GB2312"/>
                <w:sz w:val="20"/>
                <w:szCs w:val="20"/>
              </w:rPr>
              <w:t>召开属地中小学（幼儿园）安全工作分析会</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每季度</w:t>
            </w:r>
          </w:p>
        </w:tc>
      </w:tr>
      <w:tr>
        <w:tblPrEx>
          <w:tblCellMar>
            <w:top w:w="0" w:type="dxa"/>
            <w:left w:w="108" w:type="dxa"/>
            <w:bottom w:w="0" w:type="dxa"/>
            <w:right w:w="108" w:type="dxa"/>
          </w:tblCellMar>
        </w:tblPrEx>
        <w:trPr>
          <w:trHeight w:val="563" w:hRule="atLeast"/>
          <w:jc w:val="center"/>
        </w:trPr>
        <w:tc>
          <w:tcPr>
            <w:tcW w:w="481" w:type="dxa"/>
            <w:vMerge w:val="continue"/>
            <w:tcBorders>
              <w:left w:val="single" w:color="auto" w:sz="4" w:space="0"/>
              <w:right w:val="single" w:color="auto" w:sz="4" w:space="0"/>
            </w:tcBorders>
            <w:noWrap w:val="0"/>
            <w:vAlign w:val="center"/>
          </w:tcPr>
          <w:p>
            <w:pPr>
              <w:widowControl/>
              <w:jc w:val="left"/>
              <w:rPr>
                <w:rFonts w:ascii="宋体" w:hAnsi="宋体" w:cs="宋体"/>
                <w:b/>
                <w:bCs/>
                <w:kern w:val="0"/>
                <w:szCs w:val="21"/>
              </w:rPr>
            </w:pPr>
          </w:p>
        </w:tc>
        <w:tc>
          <w:tcPr>
            <w:tcW w:w="993" w:type="dxa"/>
            <w:vMerge w:val="continue"/>
            <w:tcBorders>
              <w:left w:val="single" w:color="auto" w:sz="4" w:space="0"/>
              <w:right w:val="single" w:color="auto" w:sz="4" w:space="0"/>
            </w:tcBorders>
            <w:noWrap w:val="0"/>
            <w:vAlign w:val="center"/>
          </w:tcPr>
          <w:p>
            <w:pPr>
              <w:widowControl/>
              <w:jc w:val="left"/>
              <w:rPr>
                <w:rFonts w:ascii="宋体" w:hAnsi="宋体" w:cs="宋体"/>
                <w:b/>
                <w:bCs/>
                <w:kern w:val="0"/>
                <w:szCs w:val="21"/>
              </w:rPr>
            </w:pPr>
          </w:p>
        </w:tc>
        <w:tc>
          <w:tcPr>
            <w:tcW w:w="118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宋体" w:hAnsi="宋体" w:cs="宋体"/>
                <w:kern w:val="0"/>
                <w:sz w:val="20"/>
                <w:szCs w:val="20"/>
              </w:rPr>
            </w:pPr>
            <w:r>
              <w:rPr>
                <w:rFonts w:hint="eastAsia" w:ascii="宋体" w:hAnsi="宋体" w:cs="宋体"/>
                <w:kern w:val="0"/>
                <w:sz w:val="20"/>
                <w:szCs w:val="20"/>
              </w:rPr>
              <w:t>2</w:t>
            </w:r>
          </w:p>
          <w:p>
            <w:pPr>
              <w:widowControl/>
              <w:spacing w:line="260" w:lineRule="exact"/>
              <w:jc w:val="center"/>
              <w:rPr>
                <w:rFonts w:ascii="宋体" w:hAnsi="宋体" w:cs="宋体"/>
                <w:kern w:val="0"/>
                <w:sz w:val="20"/>
                <w:szCs w:val="20"/>
              </w:rPr>
            </w:pPr>
            <w:r>
              <w:rPr>
                <w:rFonts w:hint="eastAsia" w:ascii="宋体" w:hAnsi="宋体" w:cs="宋体"/>
                <w:kern w:val="0"/>
                <w:sz w:val="20"/>
                <w:szCs w:val="20"/>
              </w:rPr>
              <w:t>落实中小学（幼儿园）安全主体责任</w:t>
            </w:r>
          </w:p>
        </w:tc>
        <w:tc>
          <w:tcPr>
            <w:tcW w:w="629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s="宋体"/>
                <w:kern w:val="0"/>
                <w:sz w:val="20"/>
                <w:szCs w:val="20"/>
              </w:rPr>
            </w:pPr>
            <w:r>
              <w:rPr>
                <w:rFonts w:hint="eastAsia" w:ascii="宋体" w:hAnsi="宋体" w:cs="仿宋_GB2312"/>
                <w:sz w:val="20"/>
                <w:szCs w:val="20"/>
              </w:rPr>
              <w:t>细化和明确中小学（幼儿园）安全主体责任，成立安全组织机构</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3月</w:t>
            </w:r>
          </w:p>
        </w:tc>
      </w:tr>
      <w:tr>
        <w:tblPrEx>
          <w:tblCellMar>
            <w:top w:w="0" w:type="dxa"/>
            <w:left w:w="108" w:type="dxa"/>
            <w:bottom w:w="0" w:type="dxa"/>
            <w:right w:w="108" w:type="dxa"/>
          </w:tblCellMar>
        </w:tblPrEx>
        <w:trPr>
          <w:trHeight w:val="702" w:hRule="atLeast"/>
          <w:jc w:val="center"/>
        </w:trPr>
        <w:tc>
          <w:tcPr>
            <w:tcW w:w="481" w:type="dxa"/>
            <w:vMerge w:val="continue"/>
            <w:tcBorders>
              <w:left w:val="single" w:color="auto" w:sz="4" w:space="0"/>
              <w:right w:val="single" w:color="auto" w:sz="4" w:space="0"/>
            </w:tcBorders>
            <w:noWrap w:val="0"/>
            <w:vAlign w:val="center"/>
          </w:tcPr>
          <w:p>
            <w:pPr>
              <w:widowControl/>
              <w:jc w:val="left"/>
              <w:rPr>
                <w:rFonts w:ascii="宋体" w:hAnsi="宋体" w:cs="宋体"/>
                <w:b/>
                <w:bCs/>
                <w:kern w:val="0"/>
                <w:szCs w:val="21"/>
              </w:rPr>
            </w:pPr>
          </w:p>
        </w:tc>
        <w:tc>
          <w:tcPr>
            <w:tcW w:w="993" w:type="dxa"/>
            <w:vMerge w:val="continue"/>
            <w:tcBorders>
              <w:left w:val="single" w:color="auto" w:sz="4" w:space="0"/>
              <w:right w:val="single" w:color="auto" w:sz="4" w:space="0"/>
            </w:tcBorders>
            <w:noWrap w:val="0"/>
            <w:vAlign w:val="center"/>
          </w:tcPr>
          <w:p>
            <w:pPr>
              <w:widowControl/>
              <w:jc w:val="left"/>
              <w:rPr>
                <w:rFonts w:ascii="宋体" w:hAnsi="宋体" w:cs="宋体"/>
                <w:b/>
                <w:bCs/>
                <w:kern w:val="0"/>
                <w:szCs w:val="21"/>
              </w:rPr>
            </w:pPr>
          </w:p>
        </w:tc>
        <w:tc>
          <w:tcPr>
            <w:tcW w:w="1189" w:type="dxa"/>
            <w:vMerge w:val="continue"/>
            <w:tcBorders>
              <w:top w:val="single" w:color="auto" w:sz="4" w:space="0"/>
              <w:left w:val="single" w:color="auto" w:sz="4" w:space="0"/>
              <w:right w:val="single" w:color="auto" w:sz="4" w:space="0"/>
            </w:tcBorders>
            <w:noWrap w:val="0"/>
            <w:vAlign w:val="center"/>
          </w:tcPr>
          <w:p>
            <w:pPr>
              <w:widowControl/>
              <w:spacing w:line="260" w:lineRule="exact"/>
              <w:jc w:val="center"/>
              <w:rPr>
                <w:rFonts w:ascii="宋体" w:hAnsi="宋体" w:cs="宋体"/>
                <w:kern w:val="0"/>
                <w:sz w:val="20"/>
                <w:szCs w:val="20"/>
              </w:rPr>
            </w:pPr>
          </w:p>
        </w:tc>
        <w:tc>
          <w:tcPr>
            <w:tcW w:w="6290" w:type="dxa"/>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宋体" w:hAnsi="宋体" w:cs="宋体"/>
                <w:kern w:val="0"/>
                <w:sz w:val="20"/>
                <w:szCs w:val="20"/>
              </w:rPr>
            </w:pPr>
            <w:r>
              <w:rPr>
                <w:rFonts w:hint="eastAsia" w:ascii="宋体" w:hAnsi="宋体" w:cs="仿宋_GB2312"/>
                <w:sz w:val="20"/>
                <w:szCs w:val="20"/>
              </w:rPr>
              <w:t>配备专职安全主任、配足配齐专职保安，聘请属地派出所教导员兼任法制副校长。</w:t>
            </w: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3月</w:t>
            </w:r>
          </w:p>
        </w:tc>
      </w:tr>
      <w:tr>
        <w:tblPrEx>
          <w:tblCellMar>
            <w:top w:w="0" w:type="dxa"/>
            <w:left w:w="108" w:type="dxa"/>
            <w:bottom w:w="0" w:type="dxa"/>
            <w:right w:w="108" w:type="dxa"/>
          </w:tblCellMar>
        </w:tblPrEx>
        <w:trPr>
          <w:trHeight w:val="684" w:hRule="atLeast"/>
          <w:jc w:val="center"/>
        </w:trPr>
        <w:tc>
          <w:tcPr>
            <w:tcW w:w="481" w:type="dxa"/>
            <w:vMerge w:val="continue"/>
            <w:tcBorders>
              <w:left w:val="single" w:color="auto" w:sz="4" w:space="0"/>
              <w:right w:val="single" w:color="auto" w:sz="4" w:space="0"/>
            </w:tcBorders>
            <w:noWrap w:val="0"/>
            <w:vAlign w:val="center"/>
          </w:tcPr>
          <w:p>
            <w:pPr>
              <w:widowControl/>
              <w:jc w:val="left"/>
              <w:rPr>
                <w:rFonts w:ascii="宋体" w:hAnsi="宋体" w:cs="宋体"/>
                <w:b/>
                <w:bCs/>
                <w:kern w:val="0"/>
                <w:szCs w:val="21"/>
              </w:rPr>
            </w:pPr>
          </w:p>
        </w:tc>
        <w:tc>
          <w:tcPr>
            <w:tcW w:w="993" w:type="dxa"/>
            <w:vMerge w:val="continue"/>
            <w:tcBorders>
              <w:left w:val="single" w:color="auto" w:sz="4" w:space="0"/>
              <w:right w:val="single" w:color="auto" w:sz="4" w:space="0"/>
            </w:tcBorders>
            <w:noWrap w:val="0"/>
            <w:vAlign w:val="center"/>
          </w:tcPr>
          <w:p>
            <w:pPr>
              <w:widowControl/>
              <w:jc w:val="left"/>
              <w:rPr>
                <w:rFonts w:ascii="宋体" w:hAnsi="宋体" w:cs="宋体"/>
                <w:b/>
                <w:bCs/>
                <w:kern w:val="0"/>
                <w:szCs w:val="21"/>
              </w:rPr>
            </w:pPr>
          </w:p>
        </w:tc>
        <w:tc>
          <w:tcPr>
            <w:tcW w:w="1189" w:type="dxa"/>
            <w:vMerge w:val="continue"/>
            <w:tcBorders>
              <w:left w:val="single" w:color="auto" w:sz="4" w:space="0"/>
              <w:right w:val="single" w:color="auto" w:sz="4" w:space="0"/>
            </w:tcBorders>
            <w:noWrap w:val="0"/>
            <w:vAlign w:val="center"/>
          </w:tcPr>
          <w:p>
            <w:pPr>
              <w:widowControl/>
              <w:spacing w:line="260" w:lineRule="exact"/>
              <w:jc w:val="center"/>
              <w:rPr>
                <w:rFonts w:ascii="宋体" w:hAnsi="宋体" w:cs="宋体"/>
                <w:kern w:val="0"/>
                <w:sz w:val="20"/>
                <w:szCs w:val="20"/>
              </w:rPr>
            </w:pPr>
          </w:p>
        </w:tc>
        <w:tc>
          <w:tcPr>
            <w:tcW w:w="6290" w:type="dxa"/>
            <w:tcBorders>
              <w:top w:val="nil"/>
              <w:left w:val="nil"/>
              <w:bottom w:val="single" w:color="auto" w:sz="4" w:space="0"/>
              <w:right w:val="single" w:color="auto" w:sz="4" w:space="0"/>
            </w:tcBorders>
            <w:noWrap w:val="0"/>
            <w:vAlign w:val="center"/>
          </w:tcPr>
          <w:p>
            <w:pPr>
              <w:widowControl/>
              <w:spacing w:line="260" w:lineRule="exact"/>
              <w:jc w:val="left"/>
              <w:rPr>
                <w:rFonts w:ascii="宋体" w:hAnsi="宋体" w:cs="宋体"/>
                <w:kern w:val="0"/>
                <w:sz w:val="20"/>
                <w:szCs w:val="20"/>
              </w:rPr>
            </w:pPr>
            <w:r>
              <w:rPr>
                <w:rFonts w:hint="eastAsia" w:ascii="宋体" w:hAnsi="宋体" w:cs="仿宋_GB2312"/>
                <w:bCs/>
                <w:sz w:val="20"/>
                <w:szCs w:val="20"/>
              </w:rPr>
              <w:t>进一步完善本单位网格化公示板，明确</w:t>
            </w:r>
            <w:r>
              <w:rPr>
                <w:rFonts w:hint="eastAsia" w:ascii="宋体" w:hAnsi="宋体" w:cs="仿宋_GB2312"/>
                <w:sz w:val="20"/>
                <w:szCs w:val="20"/>
              </w:rPr>
              <w:t>全体教职员工岗位安全责任，</w:t>
            </w:r>
            <w:r>
              <w:rPr>
                <w:rFonts w:hint="eastAsia" w:ascii="宋体" w:hAnsi="宋体" w:cs="仿宋_GB2312"/>
                <w:bCs/>
                <w:sz w:val="20"/>
                <w:szCs w:val="20"/>
              </w:rPr>
              <w:t>建立责任清单，</w:t>
            </w:r>
            <w:r>
              <w:rPr>
                <w:rFonts w:hint="eastAsia" w:ascii="宋体" w:hAnsi="宋体" w:cs="仿宋_GB2312"/>
                <w:sz w:val="20"/>
                <w:szCs w:val="20"/>
              </w:rPr>
              <w:t>公示责任分工。</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3月</w:t>
            </w:r>
          </w:p>
        </w:tc>
      </w:tr>
      <w:tr>
        <w:tblPrEx>
          <w:tblCellMar>
            <w:top w:w="0" w:type="dxa"/>
            <w:left w:w="108" w:type="dxa"/>
            <w:bottom w:w="0" w:type="dxa"/>
            <w:right w:w="108" w:type="dxa"/>
          </w:tblCellMar>
        </w:tblPrEx>
        <w:trPr>
          <w:trHeight w:val="425" w:hRule="atLeast"/>
          <w:jc w:val="center"/>
        </w:trPr>
        <w:tc>
          <w:tcPr>
            <w:tcW w:w="481" w:type="dxa"/>
            <w:vMerge w:val="continue"/>
            <w:tcBorders>
              <w:left w:val="single" w:color="auto" w:sz="4" w:space="0"/>
              <w:right w:val="single" w:color="auto" w:sz="4" w:space="0"/>
            </w:tcBorders>
            <w:noWrap w:val="0"/>
            <w:vAlign w:val="center"/>
          </w:tcPr>
          <w:p>
            <w:pPr>
              <w:widowControl/>
              <w:jc w:val="left"/>
              <w:rPr>
                <w:rFonts w:ascii="宋体" w:hAnsi="宋体" w:cs="宋体"/>
                <w:b/>
                <w:bCs/>
                <w:kern w:val="0"/>
                <w:szCs w:val="21"/>
              </w:rPr>
            </w:pPr>
          </w:p>
        </w:tc>
        <w:tc>
          <w:tcPr>
            <w:tcW w:w="993" w:type="dxa"/>
            <w:vMerge w:val="continue"/>
            <w:tcBorders>
              <w:left w:val="single" w:color="auto" w:sz="4" w:space="0"/>
              <w:right w:val="single" w:color="auto" w:sz="4" w:space="0"/>
            </w:tcBorders>
            <w:noWrap w:val="0"/>
            <w:vAlign w:val="center"/>
          </w:tcPr>
          <w:p>
            <w:pPr>
              <w:widowControl/>
              <w:jc w:val="left"/>
              <w:rPr>
                <w:rFonts w:ascii="宋体" w:hAnsi="宋体" w:cs="宋体"/>
                <w:b/>
                <w:bCs/>
                <w:kern w:val="0"/>
                <w:szCs w:val="21"/>
              </w:rPr>
            </w:pPr>
          </w:p>
        </w:tc>
        <w:tc>
          <w:tcPr>
            <w:tcW w:w="1189" w:type="dxa"/>
            <w:vMerge w:val="continue"/>
            <w:tcBorders>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kern w:val="0"/>
                <w:sz w:val="20"/>
                <w:szCs w:val="20"/>
              </w:rPr>
            </w:pPr>
          </w:p>
        </w:tc>
        <w:tc>
          <w:tcPr>
            <w:tcW w:w="6290"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仿宋_GB2312"/>
                <w:sz w:val="20"/>
                <w:szCs w:val="20"/>
              </w:rPr>
            </w:pPr>
            <w:r>
              <w:rPr>
                <w:rFonts w:hint="eastAsia" w:ascii="宋体" w:hAnsi="宋体" w:cs="仿宋_GB2312"/>
                <w:sz w:val="20"/>
                <w:szCs w:val="20"/>
              </w:rPr>
              <w:t>每月组织实施2次本单位安全工作自查，召开1次安全形势分析会。</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全年</w:t>
            </w:r>
          </w:p>
        </w:tc>
      </w:tr>
      <w:tr>
        <w:tblPrEx>
          <w:tblCellMar>
            <w:top w:w="0" w:type="dxa"/>
            <w:left w:w="108" w:type="dxa"/>
            <w:bottom w:w="0" w:type="dxa"/>
            <w:right w:w="108" w:type="dxa"/>
          </w:tblCellMar>
        </w:tblPrEx>
        <w:trPr>
          <w:trHeight w:val="759" w:hRule="atLeast"/>
          <w:jc w:val="center"/>
        </w:trPr>
        <w:tc>
          <w:tcPr>
            <w:tcW w:w="481"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Cs w:val="21"/>
              </w:rPr>
            </w:pPr>
          </w:p>
        </w:tc>
        <w:tc>
          <w:tcPr>
            <w:tcW w:w="993"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Cs w:val="21"/>
              </w:rPr>
            </w:pPr>
          </w:p>
        </w:tc>
        <w:tc>
          <w:tcPr>
            <w:tcW w:w="1189" w:type="dxa"/>
            <w:tcBorders>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宋体" w:hAnsi="宋体" w:cs="宋体"/>
                <w:kern w:val="0"/>
                <w:sz w:val="20"/>
                <w:szCs w:val="20"/>
              </w:rPr>
            </w:pPr>
            <w:r>
              <w:rPr>
                <w:rFonts w:hint="eastAsia" w:ascii="宋体" w:hAnsi="宋体" w:cs="宋体"/>
                <w:kern w:val="0"/>
                <w:sz w:val="20"/>
                <w:szCs w:val="20"/>
              </w:rPr>
              <w:t>3</w:t>
            </w:r>
          </w:p>
          <w:p>
            <w:pPr>
              <w:widowControl/>
              <w:spacing w:line="260" w:lineRule="exact"/>
              <w:jc w:val="center"/>
              <w:rPr>
                <w:rFonts w:ascii="宋体" w:hAnsi="宋体" w:cs="宋体"/>
                <w:kern w:val="0"/>
                <w:sz w:val="20"/>
                <w:szCs w:val="20"/>
              </w:rPr>
            </w:pPr>
            <w:r>
              <w:rPr>
                <w:rFonts w:hint="eastAsia" w:ascii="宋体" w:hAnsi="宋体" w:cs="宋体"/>
                <w:kern w:val="0"/>
                <w:sz w:val="20"/>
                <w:szCs w:val="20"/>
              </w:rPr>
              <w:t>落实安全工作责任追究机制</w:t>
            </w:r>
          </w:p>
        </w:tc>
        <w:tc>
          <w:tcPr>
            <w:tcW w:w="6290" w:type="dxa"/>
            <w:tcBorders>
              <w:left w:val="nil"/>
              <w:bottom w:val="single" w:color="auto" w:sz="4" w:space="0"/>
              <w:right w:val="single" w:color="auto" w:sz="4" w:space="0"/>
            </w:tcBorders>
            <w:noWrap w:val="0"/>
            <w:vAlign w:val="center"/>
          </w:tcPr>
          <w:p>
            <w:pPr>
              <w:widowControl/>
              <w:spacing w:line="260" w:lineRule="exact"/>
              <w:jc w:val="left"/>
              <w:rPr>
                <w:rFonts w:hint="eastAsia" w:ascii="宋体" w:hAnsi="宋体" w:cs="仿宋_GB2312"/>
                <w:bCs/>
                <w:sz w:val="20"/>
                <w:szCs w:val="20"/>
              </w:rPr>
            </w:pPr>
            <w:r>
              <w:rPr>
                <w:rFonts w:hint="eastAsia" w:ascii="宋体" w:hAnsi="宋体" w:cs="仿宋_GB2312"/>
                <w:bCs/>
                <w:sz w:val="20"/>
                <w:szCs w:val="20"/>
              </w:rPr>
              <w:t>依据《长春市教育系统安全责任事前追究暂行规定》，视情节依据国家相关法律法规进行追责。</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全年</w:t>
            </w:r>
          </w:p>
        </w:tc>
      </w:tr>
      <w:tr>
        <w:tblPrEx>
          <w:tblCellMar>
            <w:top w:w="0" w:type="dxa"/>
            <w:left w:w="108" w:type="dxa"/>
            <w:bottom w:w="0" w:type="dxa"/>
            <w:right w:w="108" w:type="dxa"/>
          </w:tblCellMar>
        </w:tblPrEx>
        <w:trPr>
          <w:trHeight w:val="843" w:hRule="atLeast"/>
          <w:jc w:val="center"/>
        </w:trPr>
        <w:tc>
          <w:tcPr>
            <w:tcW w:w="481" w:type="dxa"/>
            <w:vMerge w:val="restart"/>
            <w:tcBorders>
              <w:top w:val="single" w:color="auto" w:sz="4" w:space="0"/>
              <w:left w:val="single" w:color="auto" w:sz="4" w:space="0"/>
              <w:right w:val="single" w:color="auto" w:sz="4" w:space="0"/>
            </w:tcBorders>
            <w:noWrap w:val="0"/>
            <w:vAlign w:val="center"/>
          </w:tcPr>
          <w:p>
            <w:pPr>
              <w:widowControl/>
              <w:jc w:val="left"/>
              <w:rPr>
                <w:rFonts w:ascii="宋体" w:hAnsi="宋体" w:cs="宋体"/>
                <w:b/>
                <w:bCs/>
                <w:kern w:val="0"/>
                <w:szCs w:val="21"/>
              </w:rPr>
            </w:pPr>
            <w:r>
              <w:rPr>
                <w:rFonts w:hint="eastAsia" w:ascii="宋体" w:hAnsi="宋体" w:cs="宋体"/>
                <w:b/>
                <w:bCs/>
                <w:kern w:val="0"/>
                <w:szCs w:val="21"/>
              </w:rPr>
              <w:t>二</w:t>
            </w:r>
          </w:p>
        </w:tc>
        <w:tc>
          <w:tcPr>
            <w:tcW w:w="993"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rFonts w:ascii="宋体" w:hAnsi="宋体" w:cs="宋体"/>
                <w:b/>
                <w:bCs/>
                <w:kern w:val="0"/>
                <w:szCs w:val="21"/>
              </w:rPr>
            </w:pPr>
            <w:r>
              <w:rPr>
                <w:rFonts w:hint="eastAsia" w:ascii="宋体" w:hAnsi="宋体"/>
                <w:szCs w:val="21"/>
              </w:rPr>
              <w:t>优化风险防控，进一步完善安全应急体系智能建设</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cs="宋体"/>
                <w:kern w:val="0"/>
                <w:sz w:val="20"/>
                <w:szCs w:val="20"/>
              </w:rPr>
            </w:pPr>
            <w:r>
              <w:rPr>
                <w:rFonts w:hint="eastAsia" w:ascii="宋体" w:hAnsi="宋体" w:cs="宋体"/>
                <w:kern w:val="0"/>
                <w:sz w:val="20"/>
                <w:szCs w:val="20"/>
              </w:rPr>
              <w:t>4</w:t>
            </w:r>
          </w:p>
          <w:p>
            <w:pPr>
              <w:spacing w:line="260" w:lineRule="exact"/>
              <w:jc w:val="center"/>
              <w:rPr>
                <w:rFonts w:hint="eastAsia" w:ascii="宋体" w:hAnsi="宋体" w:cs="宋体"/>
                <w:kern w:val="0"/>
                <w:szCs w:val="21"/>
              </w:rPr>
            </w:pPr>
            <w:r>
              <w:rPr>
                <w:rFonts w:hint="eastAsia" w:ascii="宋体" w:hAnsi="宋体" w:cs="宋体"/>
                <w:kern w:val="0"/>
                <w:sz w:val="20"/>
                <w:szCs w:val="20"/>
              </w:rPr>
              <w:t>推进“双重预防机制”智能建设</w:t>
            </w:r>
          </w:p>
        </w:tc>
        <w:tc>
          <w:tcPr>
            <w:tcW w:w="6290" w:type="dxa"/>
            <w:tcBorders>
              <w:top w:val="single" w:color="auto" w:sz="4" w:space="0"/>
              <w:left w:val="nil"/>
              <w:bottom w:val="single" w:color="auto" w:sz="4" w:space="0"/>
              <w:right w:val="single" w:color="auto" w:sz="4" w:space="0"/>
            </w:tcBorders>
            <w:noWrap w:val="0"/>
            <w:vAlign w:val="center"/>
          </w:tcPr>
          <w:p>
            <w:pPr>
              <w:widowControl/>
              <w:shd w:val="clear" w:color="auto" w:fill="FFFFFF"/>
              <w:spacing w:line="240" w:lineRule="exact"/>
              <w:rPr>
                <w:rFonts w:hint="eastAsia" w:ascii="宋体" w:hAnsi="宋体" w:cs="宋体"/>
                <w:kern w:val="0"/>
                <w:sz w:val="20"/>
                <w:szCs w:val="20"/>
              </w:rPr>
            </w:pPr>
            <w:r>
              <w:rPr>
                <w:rFonts w:hint="eastAsia" w:ascii="宋体" w:hAnsi="宋体" w:cs="宋体"/>
                <w:kern w:val="0"/>
                <w:sz w:val="20"/>
                <w:szCs w:val="20"/>
              </w:rPr>
              <w:t>依托“二道区校园校车安全管理信息监控平台”的智能化应用，升级打造“双重预防机制”信息化预警图墙管理机制。</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全年</w:t>
            </w:r>
          </w:p>
        </w:tc>
      </w:tr>
      <w:tr>
        <w:tblPrEx>
          <w:tblCellMar>
            <w:top w:w="0" w:type="dxa"/>
            <w:left w:w="108" w:type="dxa"/>
            <w:bottom w:w="0" w:type="dxa"/>
            <w:right w:w="108" w:type="dxa"/>
          </w:tblCellMar>
        </w:tblPrEx>
        <w:trPr>
          <w:trHeight w:val="1039" w:hRule="atLeast"/>
          <w:jc w:val="center"/>
        </w:trPr>
        <w:tc>
          <w:tcPr>
            <w:tcW w:w="481" w:type="dxa"/>
            <w:vMerge w:val="continue"/>
            <w:tcBorders>
              <w:left w:val="single" w:color="auto" w:sz="4" w:space="0"/>
              <w:right w:val="single" w:color="auto" w:sz="4" w:space="0"/>
            </w:tcBorders>
            <w:noWrap w:val="0"/>
            <w:vAlign w:val="center"/>
          </w:tcPr>
          <w:p>
            <w:pPr>
              <w:widowControl/>
              <w:jc w:val="left"/>
              <w:rPr>
                <w:rFonts w:ascii="宋体" w:hAnsi="宋体" w:cs="宋体"/>
                <w:b/>
                <w:bCs/>
                <w:kern w:val="0"/>
                <w:szCs w:val="21"/>
              </w:rPr>
            </w:pPr>
          </w:p>
        </w:tc>
        <w:tc>
          <w:tcPr>
            <w:tcW w:w="993" w:type="dxa"/>
            <w:vMerge w:val="continue"/>
            <w:tcBorders>
              <w:left w:val="single" w:color="auto" w:sz="4" w:space="0"/>
              <w:right w:val="single" w:color="auto" w:sz="4" w:space="0"/>
            </w:tcBorders>
            <w:noWrap w:val="0"/>
            <w:vAlign w:val="center"/>
          </w:tcPr>
          <w:p>
            <w:pPr>
              <w:jc w:val="left"/>
              <w:rPr>
                <w:rFonts w:ascii="宋体" w:hAnsi="宋体" w:cs="宋体"/>
                <w:b/>
                <w:bCs/>
                <w:kern w:val="0"/>
                <w:szCs w:val="21"/>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cs="仿宋_GB2312"/>
                <w:kern w:val="0"/>
                <w:sz w:val="20"/>
                <w:szCs w:val="20"/>
              </w:rPr>
            </w:pPr>
            <w:r>
              <w:rPr>
                <w:rFonts w:hint="eastAsia" w:ascii="宋体" w:hAnsi="宋体" w:cs="仿宋_GB2312"/>
                <w:kern w:val="0"/>
                <w:sz w:val="20"/>
                <w:szCs w:val="20"/>
              </w:rPr>
              <w:t>5</w:t>
            </w:r>
          </w:p>
          <w:p>
            <w:pPr>
              <w:spacing w:line="260" w:lineRule="exact"/>
              <w:jc w:val="center"/>
              <w:rPr>
                <w:rFonts w:hint="eastAsia" w:ascii="宋体" w:hAnsi="宋体" w:cs="宋体"/>
                <w:kern w:val="0"/>
                <w:szCs w:val="21"/>
              </w:rPr>
            </w:pPr>
            <w:r>
              <w:rPr>
                <w:rFonts w:hint="eastAsia" w:ascii="宋体" w:hAnsi="宋体" w:cs="仿宋_GB2312"/>
                <w:kern w:val="0"/>
                <w:sz w:val="20"/>
                <w:szCs w:val="20"/>
              </w:rPr>
              <w:t>推进“防范预警管控”智能建设</w:t>
            </w:r>
          </w:p>
        </w:tc>
        <w:tc>
          <w:tcPr>
            <w:tcW w:w="6290" w:type="dxa"/>
            <w:tcBorders>
              <w:top w:val="single" w:color="auto" w:sz="4" w:space="0"/>
              <w:left w:val="nil"/>
              <w:bottom w:val="single" w:color="auto" w:sz="4" w:space="0"/>
              <w:right w:val="single" w:color="auto" w:sz="4" w:space="0"/>
            </w:tcBorders>
            <w:noWrap w:val="0"/>
            <w:vAlign w:val="center"/>
          </w:tcPr>
          <w:p>
            <w:pPr>
              <w:widowControl/>
              <w:shd w:val="clear" w:color="auto" w:fill="FFFFFF"/>
              <w:spacing w:line="240" w:lineRule="exact"/>
              <w:rPr>
                <w:rFonts w:hint="eastAsia" w:ascii="宋体" w:hAnsi="宋体" w:cs="宋体"/>
                <w:kern w:val="0"/>
                <w:szCs w:val="21"/>
              </w:rPr>
            </w:pPr>
            <w:r>
              <w:rPr>
                <w:rFonts w:hint="eastAsia" w:ascii="宋体" w:hAnsi="宋体" w:cs="宋体"/>
                <w:kern w:val="0"/>
                <w:sz w:val="20"/>
                <w:szCs w:val="20"/>
              </w:rPr>
              <w:t>依托信息化手段，深度挖掘“二道区校园校车安全管理信息监控平台”的功能升级，提高学校安全管理现代化水平。</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全年</w:t>
            </w:r>
          </w:p>
        </w:tc>
      </w:tr>
      <w:tr>
        <w:tblPrEx>
          <w:tblCellMar>
            <w:top w:w="0" w:type="dxa"/>
            <w:left w:w="108" w:type="dxa"/>
            <w:bottom w:w="0" w:type="dxa"/>
            <w:right w:w="108" w:type="dxa"/>
          </w:tblCellMar>
        </w:tblPrEx>
        <w:trPr>
          <w:trHeight w:val="1082" w:hRule="atLeast"/>
          <w:jc w:val="center"/>
        </w:trPr>
        <w:tc>
          <w:tcPr>
            <w:tcW w:w="481" w:type="dxa"/>
            <w:vMerge w:val="continue"/>
            <w:tcBorders>
              <w:left w:val="single" w:color="auto" w:sz="4" w:space="0"/>
              <w:right w:val="single" w:color="auto" w:sz="4" w:space="0"/>
            </w:tcBorders>
            <w:noWrap w:val="0"/>
            <w:vAlign w:val="center"/>
          </w:tcPr>
          <w:p>
            <w:pPr>
              <w:widowControl/>
              <w:jc w:val="left"/>
              <w:rPr>
                <w:rFonts w:ascii="宋体" w:hAnsi="宋体" w:cs="宋体"/>
                <w:b/>
                <w:bCs/>
                <w:kern w:val="0"/>
                <w:szCs w:val="21"/>
              </w:rPr>
            </w:pPr>
          </w:p>
        </w:tc>
        <w:tc>
          <w:tcPr>
            <w:tcW w:w="993" w:type="dxa"/>
            <w:vMerge w:val="continue"/>
            <w:tcBorders>
              <w:left w:val="single" w:color="auto" w:sz="4" w:space="0"/>
              <w:right w:val="single" w:color="auto" w:sz="4" w:space="0"/>
            </w:tcBorders>
            <w:noWrap w:val="0"/>
            <w:vAlign w:val="center"/>
          </w:tcPr>
          <w:p>
            <w:pPr>
              <w:jc w:val="left"/>
              <w:rPr>
                <w:rFonts w:ascii="宋体" w:hAnsi="宋体" w:cs="宋体"/>
                <w:b/>
                <w:bCs/>
                <w:kern w:val="0"/>
                <w:szCs w:val="21"/>
              </w:rPr>
            </w:pPr>
          </w:p>
        </w:tc>
        <w:tc>
          <w:tcPr>
            <w:tcW w:w="1189" w:type="dxa"/>
            <w:vMerge w:val="restart"/>
            <w:tcBorders>
              <w:top w:val="single" w:color="auto" w:sz="4" w:space="0"/>
              <w:left w:val="single" w:color="auto" w:sz="4" w:space="0"/>
              <w:right w:val="single" w:color="auto" w:sz="4" w:space="0"/>
            </w:tcBorders>
            <w:noWrap w:val="0"/>
            <w:vAlign w:val="center"/>
          </w:tcPr>
          <w:p>
            <w:pPr>
              <w:spacing w:line="260" w:lineRule="exact"/>
              <w:jc w:val="center"/>
              <w:rPr>
                <w:rFonts w:hint="eastAsia" w:ascii="宋体" w:hAnsi="宋体" w:cs="楷体_GB2312"/>
                <w:sz w:val="20"/>
                <w:szCs w:val="20"/>
              </w:rPr>
            </w:pPr>
            <w:r>
              <w:rPr>
                <w:rFonts w:hint="eastAsia" w:ascii="宋体" w:hAnsi="宋体" w:cs="楷体_GB2312"/>
                <w:sz w:val="20"/>
                <w:szCs w:val="20"/>
              </w:rPr>
              <w:t>6</w:t>
            </w:r>
          </w:p>
          <w:p>
            <w:pPr>
              <w:spacing w:line="260" w:lineRule="exact"/>
              <w:jc w:val="center"/>
              <w:rPr>
                <w:rFonts w:hint="eastAsia" w:ascii="宋体" w:hAnsi="宋体" w:cs="宋体"/>
                <w:kern w:val="0"/>
                <w:szCs w:val="21"/>
              </w:rPr>
            </w:pPr>
            <w:r>
              <w:rPr>
                <w:rFonts w:hint="eastAsia" w:ascii="宋体" w:hAnsi="宋体" w:cs="Arial"/>
                <w:sz w:val="20"/>
                <w:szCs w:val="20"/>
              </w:rPr>
              <w:t>提高安防设施规范标准建设</w:t>
            </w:r>
          </w:p>
        </w:tc>
        <w:tc>
          <w:tcPr>
            <w:tcW w:w="6290" w:type="dxa"/>
            <w:tcBorders>
              <w:top w:val="single" w:color="auto" w:sz="4" w:space="0"/>
              <w:left w:val="nil"/>
              <w:bottom w:val="single" w:color="auto" w:sz="4" w:space="0"/>
              <w:right w:val="single" w:color="auto" w:sz="4" w:space="0"/>
            </w:tcBorders>
            <w:noWrap w:val="0"/>
            <w:vAlign w:val="center"/>
          </w:tcPr>
          <w:p>
            <w:pPr>
              <w:pStyle w:val="7"/>
              <w:spacing w:line="260" w:lineRule="exact"/>
              <w:jc w:val="left"/>
              <w:rPr>
                <w:rFonts w:hint="eastAsia" w:ascii="宋体" w:hAnsi="宋体" w:cs="宋体"/>
                <w:kern w:val="0"/>
                <w:szCs w:val="21"/>
              </w:rPr>
            </w:pPr>
            <w:r>
              <w:rPr>
                <w:rFonts w:hint="eastAsia" w:ascii="宋体" w:hAnsi="宋体" w:cs="宋体"/>
                <w:kern w:val="0"/>
                <w:sz w:val="20"/>
                <w:szCs w:val="20"/>
              </w:rPr>
              <w:t>实现校园高清视频监控系统“全覆盖”“无盲点”，有条件的单位集成各类视频资源和数据，逐步探索“人脸识别”抓拍记录学生信息、“行为分析”判断人员密集指数预防踩踏事故等视频监控延伸功能。</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全年</w:t>
            </w:r>
          </w:p>
        </w:tc>
      </w:tr>
      <w:tr>
        <w:tblPrEx>
          <w:tblCellMar>
            <w:top w:w="0" w:type="dxa"/>
            <w:left w:w="108" w:type="dxa"/>
            <w:bottom w:w="0" w:type="dxa"/>
            <w:right w:w="108" w:type="dxa"/>
          </w:tblCellMar>
        </w:tblPrEx>
        <w:trPr>
          <w:trHeight w:val="983" w:hRule="atLeast"/>
          <w:jc w:val="center"/>
        </w:trPr>
        <w:tc>
          <w:tcPr>
            <w:tcW w:w="481" w:type="dxa"/>
            <w:vMerge w:val="continue"/>
            <w:tcBorders>
              <w:left w:val="single" w:color="auto" w:sz="4" w:space="0"/>
              <w:right w:val="single" w:color="auto" w:sz="4" w:space="0"/>
            </w:tcBorders>
            <w:noWrap w:val="0"/>
            <w:vAlign w:val="center"/>
          </w:tcPr>
          <w:p>
            <w:pPr>
              <w:widowControl/>
              <w:jc w:val="left"/>
              <w:rPr>
                <w:rFonts w:ascii="宋体" w:hAnsi="宋体" w:cs="宋体"/>
                <w:b/>
                <w:bCs/>
                <w:kern w:val="0"/>
                <w:szCs w:val="21"/>
              </w:rPr>
            </w:pPr>
          </w:p>
        </w:tc>
        <w:tc>
          <w:tcPr>
            <w:tcW w:w="993" w:type="dxa"/>
            <w:vMerge w:val="continue"/>
            <w:tcBorders>
              <w:left w:val="single" w:color="auto" w:sz="4" w:space="0"/>
              <w:right w:val="single" w:color="auto" w:sz="4" w:space="0"/>
            </w:tcBorders>
            <w:noWrap w:val="0"/>
            <w:vAlign w:val="center"/>
          </w:tcPr>
          <w:p>
            <w:pPr>
              <w:jc w:val="left"/>
              <w:rPr>
                <w:rFonts w:ascii="宋体" w:hAnsi="宋体" w:cs="宋体"/>
                <w:b/>
                <w:bCs/>
                <w:kern w:val="0"/>
                <w:szCs w:val="21"/>
              </w:rPr>
            </w:pPr>
          </w:p>
        </w:tc>
        <w:tc>
          <w:tcPr>
            <w:tcW w:w="1189" w:type="dxa"/>
            <w:vMerge w:val="continue"/>
            <w:tcBorders>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cs="楷体_GB2312"/>
                <w:sz w:val="20"/>
                <w:szCs w:val="20"/>
              </w:rPr>
            </w:pPr>
          </w:p>
        </w:tc>
        <w:tc>
          <w:tcPr>
            <w:tcW w:w="6290" w:type="dxa"/>
            <w:tcBorders>
              <w:top w:val="single" w:color="auto" w:sz="4" w:space="0"/>
              <w:left w:val="nil"/>
              <w:bottom w:val="single" w:color="auto" w:sz="4" w:space="0"/>
              <w:right w:val="single" w:color="auto" w:sz="4" w:space="0"/>
            </w:tcBorders>
            <w:noWrap w:val="0"/>
            <w:vAlign w:val="center"/>
          </w:tcPr>
          <w:p>
            <w:pPr>
              <w:widowControl/>
              <w:shd w:val="clear" w:color="auto" w:fill="FFFFFF"/>
              <w:spacing w:line="240" w:lineRule="exact"/>
              <w:rPr>
                <w:rFonts w:hint="eastAsia" w:ascii="宋体" w:hAnsi="宋体" w:cs="宋体"/>
                <w:kern w:val="0"/>
                <w:sz w:val="20"/>
                <w:szCs w:val="20"/>
              </w:rPr>
            </w:pPr>
            <w:r>
              <w:rPr>
                <w:rFonts w:hint="eastAsia" w:ascii="宋体" w:hAnsi="宋体" w:cs="Arial"/>
                <w:sz w:val="20"/>
                <w:szCs w:val="20"/>
              </w:rPr>
              <w:t>提高标准化警务室建设质量，配足配齐警用装备“十二件套”，有条件的单位根据实际需要建设电子防冲撞柱、柱式报警等新型安防设备，打造现代化“校园警务室”新环境</w:t>
            </w:r>
            <w:r>
              <w:rPr>
                <w:rFonts w:hint="eastAsia" w:ascii="宋体" w:hAnsi="宋体" w:cs="宋体"/>
                <w:kern w:val="0"/>
                <w:sz w:val="20"/>
                <w:szCs w:val="20"/>
              </w:rPr>
              <w:t>。</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3月前</w:t>
            </w:r>
          </w:p>
        </w:tc>
      </w:tr>
      <w:tr>
        <w:tblPrEx>
          <w:tblCellMar>
            <w:top w:w="0" w:type="dxa"/>
            <w:left w:w="108" w:type="dxa"/>
            <w:bottom w:w="0" w:type="dxa"/>
            <w:right w:w="108" w:type="dxa"/>
          </w:tblCellMar>
        </w:tblPrEx>
        <w:trPr>
          <w:trHeight w:val="842" w:hRule="atLeast"/>
          <w:jc w:val="center"/>
        </w:trPr>
        <w:tc>
          <w:tcPr>
            <w:tcW w:w="481" w:type="dxa"/>
            <w:vMerge w:val="continue"/>
            <w:tcBorders>
              <w:left w:val="single" w:color="auto" w:sz="4" w:space="0"/>
              <w:right w:val="single" w:color="auto" w:sz="4" w:space="0"/>
            </w:tcBorders>
            <w:noWrap w:val="0"/>
            <w:vAlign w:val="center"/>
          </w:tcPr>
          <w:p>
            <w:pPr>
              <w:widowControl/>
              <w:jc w:val="left"/>
              <w:rPr>
                <w:rFonts w:ascii="宋体" w:hAnsi="宋体" w:cs="宋体"/>
                <w:b/>
                <w:bCs/>
                <w:kern w:val="0"/>
                <w:szCs w:val="21"/>
              </w:rPr>
            </w:pPr>
          </w:p>
        </w:tc>
        <w:tc>
          <w:tcPr>
            <w:tcW w:w="993" w:type="dxa"/>
            <w:vMerge w:val="continue"/>
            <w:tcBorders>
              <w:left w:val="single" w:color="auto" w:sz="4" w:space="0"/>
              <w:right w:val="single" w:color="auto" w:sz="4" w:space="0"/>
            </w:tcBorders>
            <w:noWrap w:val="0"/>
            <w:vAlign w:val="center"/>
          </w:tcPr>
          <w:p>
            <w:pPr>
              <w:jc w:val="left"/>
              <w:rPr>
                <w:rFonts w:ascii="宋体" w:hAnsi="宋体" w:cs="宋体"/>
                <w:b/>
                <w:bCs/>
                <w:kern w:val="0"/>
                <w:szCs w:val="21"/>
              </w:rPr>
            </w:pPr>
          </w:p>
        </w:tc>
        <w:tc>
          <w:tcPr>
            <w:tcW w:w="1189" w:type="dxa"/>
            <w:vMerge w:val="restart"/>
            <w:tcBorders>
              <w:top w:val="single" w:color="auto" w:sz="4" w:space="0"/>
              <w:left w:val="single" w:color="auto" w:sz="4" w:space="0"/>
              <w:right w:val="single" w:color="auto" w:sz="4" w:space="0"/>
            </w:tcBorders>
            <w:noWrap w:val="0"/>
            <w:vAlign w:val="center"/>
          </w:tcPr>
          <w:p>
            <w:pPr>
              <w:spacing w:line="260" w:lineRule="exact"/>
              <w:jc w:val="center"/>
              <w:rPr>
                <w:rFonts w:hint="eastAsia" w:ascii="宋体" w:hAnsi="宋体" w:cs="宋体"/>
                <w:kern w:val="0"/>
                <w:szCs w:val="21"/>
              </w:rPr>
            </w:pPr>
            <w:r>
              <w:rPr>
                <w:rFonts w:hint="eastAsia" w:ascii="宋体" w:hAnsi="宋体" w:cs="宋体"/>
                <w:kern w:val="0"/>
                <w:szCs w:val="21"/>
              </w:rPr>
              <w:t>7</w:t>
            </w:r>
          </w:p>
          <w:p>
            <w:pPr>
              <w:spacing w:line="260" w:lineRule="exact"/>
              <w:jc w:val="center"/>
              <w:rPr>
                <w:rFonts w:hint="eastAsia" w:ascii="宋体" w:hAnsi="宋体" w:cs="宋体"/>
                <w:kern w:val="0"/>
                <w:szCs w:val="21"/>
              </w:rPr>
            </w:pPr>
            <w:r>
              <w:rPr>
                <w:rFonts w:hint="eastAsia" w:ascii="宋体" w:hAnsi="宋体" w:cs="仿宋_GB2312"/>
                <w:kern w:val="0"/>
                <w:sz w:val="20"/>
                <w:szCs w:val="20"/>
              </w:rPr>
              <w:t>完善应急预案</w:t>
            </w:r>
            <w:r>
              <w:rPr>
                <w:rFonts w:hint="eastAsia" w:ascii="宋体" w:hAnsi="宋体" w:cs="Tahoma"/>
                <w:kern w:val="0"/>
                <w:sz w:val="20"/>
                <w:szCs w:val="20"/>
              </w:rPr>
              <w:t>开展应急演练</w:t>
            </w:r>
          </w:p>
        </w:tc>
        <w:tc>
          <w:tcPr>
            <w:tcW w:w="6290" w:type="dxa"/>
            <w:tcBorders>
              <w:top w:val="single" w:color="auto" w:sz="4" w:space="0"/>
              <w:left w:val="nil"/>
              <w:bottom w:val="single" w:color="auto" w:sz="4" w:space="0"/>
              <w:right w:val="single" w:color="auto" w:sz="4" w:space="0"/>
            </w:tcBorders>
            <w:noWrap w:val="0"/>
            <w:vAlign w:val="center"/>
          </w:tcPr>
          <w:p>
            <w:pPr>
              <w:widowControl/>
              <w:shd w:val="clear" w:color="auto" w:fill="FFFFFF"/>
              <w:spacing w:line="240" w:lineRule="exact"/>
              <w:rPr>
                <w:rFonts w:hint="eastAsia" w:ascii="宋体" w:hAnsi="宋体" w:cs="Tahoma"/>
                <w:kern w:val="0"/>
                <w:sz w:val="20"/>
                <w:szCs w:val="20"/>
              </w:rPr>
            </w:pPr>
            <w:r>
              <w:rPr>
                <w:rFonts w:hint="eastAsia" w:ascii="宋体" w:hAnsi="宋体" w:cs="仿宋_GB2312"/>
                <w:sz w:val="20"/>
                <w:szCs w:val="20"/>
              </w:rPr>
              <w:t>对现有应急预案进行一次系统梳理和修改完善，根据突发事件情况类别明确应对责任、应对程序和措施；</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全年</w:t>
            </w:r>
          </w:p>
        </w:tc>
      </w:tr>
      <w:tr>
        <w:tblPrEx>
          <w:tblCellMar>
            <w:top w:w="0" w:type="dxa"/>
            <w:left w:w="108" w:type="dxa"/>
            <w:bottom w:w="0" w:type="dxa"/>
            <w:right w:w="108" w:type="dxa"/>
          </w:tblCellMar>
        </w:tblPrEx>
        <w:trPr>
          <w:trHeight w:val="699" w:hRule="atLeast"/>
          <w:jc w:val="center"/>
        </w:trPr>
        <w:tc>
          <w:tcPr>
            <w:tcW w:w="481" w:type="dxa"/>
            <w:vMerge w:val="continue"/>
            <w:tcBorders>
              <w:left w:val="single" w:color="auto" w:sz="4" w:space="0"/>
              <w:right w:val="single" w:color="auto" w:sz="4" w:space="0"/>
            </w:tcBorders>
            <w:noWrap w:val="0"/>
            <w:vAlign w:val="center"/>
          </w:tcPr>
          <w:p>
            <w:pPr>
              <w:widowControl/>
              <w:jc w:val="left"/>
              <w:rPr>
                <w:rFonts w:ascii="宋体" w:hAnsi="宋体" w:cs="宋体"/>
                <w:b/>
                <w:bCs/>
                <w:kern w:val="0"/>
                <w:szCs w:val="21"/>
              </w:rPr>
            </w:pPr>
          </w:p>
        </w:tc>
        <w:tc>
          <w:tcPr>
            <w:tcW w:w="993" w:type="dxa"/>
            <w:vMerge w:val="continue"/>
            <w:tcBorders>
              <w:left w:val="single" w:color="auto" w:sz="4" w:space="0"/>
              <w:right w:val="single" w:color="auto" w:sz="4" w:space="0"/>
            </w:tcBorders>
            <w:noWrap w:val="0"/>
            <w:vAlign w:val="center"/>
          </w:tcPr>
          <w:p>
            <w:pPr>
              <w:jc w:val="left"/>
              <w:rPr>
                <w:rFonts w:ascii="宋体" w:hAnsi="宋体" w:cs="宋体"/>
                <w:b/>
                <w:bCs/>
                <w:kern w:val="0"/>
                <w:szCs w:val="21"/>
              </w:rPr>
            </w:pPr>
          </w:p>
        </w:tc>
        <w:tc>
          <w:tcPr>
            <w:tcW w:w="1189" w:type="dxa"/>
            <w:vMerge w:val="continue"/>
            <w:tcBorders>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cs="宋体"/>
                <w:kern w:val="0"/>
                <w:szCs w:val="21"/>
              </w:rPr>
            </w:pPr>
          </w:p>
        </w:tc>
        <w:tc>
          <w:tcPr>
            <w:tcW w:w="6290" w:type="dxa"/>
            <w:tcBorders>
              <w:top w:val="single" w:color="auto" w:sz="4" w:space="0"/>
              <w:left w:val="nil"/>
              <w:bottom w:val="single" w:color="auto" w:sz="4" w:space="0"/>
              <w:right w:val="single" w:color="auto" w:sz="4" w:space="0"/>
            </w:tcBorders>
            <w:noWrap w:val="0"/>
            <w:vAlign w:val="center"/>
          </w:tcPr>
          <w:p>
            <w:pPr>
              <w:widowControl/>
              <w:shd w:val="clear" w:color="auto" w:fill="FFFFFF"/>
              <w:spacing w:line="240" w:lineRule="exact"/>
              <w:rPr>
                <w:rFonts w:hint="eastAsia" w:ascii="宋体" w:hAnsi="宋体" w:cs="楷体"/>
                <w:sz w:val="20"/>
                <w:szCs w:val="20"/>
              </w:rPr>
            </w:pPr>
            <w:r>
              <w:rPr>
                <w:rFonts w:hint="eastAsia" w:ascii="宋体" w:hAnsi="宋体" w:cs="Tahoma"/>
                <w:kern w:val="0"/>
                <w:sz w:val="20"/>
                <w:szCs w:val="20"/>
              </w:rPr>
              <w:t>定期组织开展应急演练，完善各类应急预案。</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全年</w:t>
            </w:r>
          </w:p>
        </w:tc>
      </w:tr>
      <w:tr>
        <w:tblPrEx>
          <w:tblCellMar>
            <w:top w:w="0" w:type="dxa"/>
            <w:left w:w="108" w:type="dxa"/>
            <w:bottom w:w="0" w:type="dxa"/>
            <w:right w:w="108" w:type="dxa"/>
          </w:tblCellMar>
        </w:tblPrEx>
        <w:trPr>
          <w:trHeight w:val="841" w:hRule="atLeast"/>
          <w:jc w:val="center"/>
        </w:trPr>
        <w:tc>
          <w:tcPr>
            <w:tcW w:w="481" w:type="dxa"/>
            <w:vMerge w:val="continue"/>
            <w:tcBorders>
              <w:left w:val="single" w:color="auto" w:sz="4" w:space="0"/>
              <w:right w:val="single" w:color="auto" w:sz="4" w:space="0"/>
            </w:tcBorders>
            <w:noWrap w:val="0"/>
            <w:vAlign w:val="center"/>
          </w:tcPr>
          <w:p>
            <w:pPr>
              <w:widowControl/>
              <w:jc w:val="left"/>
              <w:rPr>
                <w:rFonts w:ascii="宋体" w:hAnsi="宋体" w:cs="宋体"/>
                <w:b/>
                <w:bCs/>
                <w:kern w:val="0"/>
                <w:szCs w:val="21"/>
              </w:rPr>
            </w:pPr>
          </w:p>
        </w:tc>
        <w:tc>
          <w:tcPr>
            <w:tcW w:w="993" w:type="dxa"/>
            <w:vMerge w:val="continue"/>
            <w:tcBorders>
              <w:left w:val="single" w:color="auto" w:sz="4" w:space="0"/>
              <w:right w:val="single" w:color="auto" w:sz="4" w:space="0"/>
            </w:tcBorders>
            <w:noWrap w:val="0"/>
            <w:vAlign w:val="center"/>
          </w:tcPr>
          <w:p>
            <w:pPr>
              <w:jc w:val="left"/>
              <w:rPr>
                <w:rFonts w:ascii="宋体" w:hAnsi="宋体" w:cs="宋体"/>
                <w:b/>
                <w:bCs/>
                <w:kern w:val="0"/>
                <w:szCs w:val="21"/>
              </w:rPr>
            </w:pPr>
          </w:p>
        </w:tc>
        <w:tc>
          <w:tcPr>
            <w:tcW w:w="1189" w:type="dxa"/>
            <w:vMerge w:val="restart"/>
            <w:tcBorders>
              <w:top w:val="single" w:color="auto" w:sz="4" w:space="0"/>
              <w:left w:val="single" w:color="auto" w:sz="4" w:space="0"/>
              <w:right w:val="single" w:color="auto" w:sz="4" w:space="0"/>
            </w:tcBorders>
            <w:noWrap w:val="0"/>
            <w:vAlign w:val="center"/>
          </w:tcPr>
          <w:p>
            <w:pPr>
              <w:spacing w:line="260" w:lineRule="exact"/>
              <w:jc w:val="center"/>
              <w:rPr>
                <w:rFonts w:hint="eastAsia" w:ascii="宋体" w:hAnsi="宋体" w:cs="宋体"/>
                <w:kern w:val="0"/>
                <w:szCs w:val="21"/>
              </w:rPr>
            </w:pPr>
            <w:r>
              <w:rPr>
                <w:rFonts w:hint="eastAsia" w:ascii="宋体" w:hAnsi="宋体" w:cs="宋体"/>
                <w:kern w:val="0"/>
                <w:szCs w:val="21"/>
              </w:rPr>
              <w:t>8</w:t>
            </w:r>
          </w:p>
          <w:p>
            <w:pPr>
              <w:spacing w:line="260" w:lineRule="exact"/>
              <w:jc w:val="center"/>
              <w:rPr>
                <w:rFonts w:hint="eastAsia" w:ascii="宋体" w:hAnsi="宋体" w:cs="宋体"/>
                <w:kern w:val="0"/>
                <w:szCs w:val="21"/>
              </w:rPr>
            </w:pPr>
            <w:r>
              <w:rPr>
                <w:rFonts w:hint="eastAsia" w:ascii="宋体" w:hAnsi="宋体" w:cs="仿宋_GB2312"/>
                <w:kern w:val="0"/>
                <w:sz w:val="20"/>
                <w:szCs w:val="20"/>
              </w:rPr>
              <w:t>抓好突发事件应对及应急信息上报</w:t>
            </w:r>
          </w:p>
        </w:tc>
        <w:tc>
          <w:tcPr>
            <w:tcW w:w="6290" w:type="dxa"/>
            <w:tcBorders>
              <w:top w:val="single" w:color="auto" w:sz="4" w:space="0"/>
              <w:left w:val="nil"/>
              <w:bottom w:val="single" w:color="auto" w:sz="4" w:space="0"/>
              <w:right w:val="single" w:color="auto" w:sz="4" w:space="0"/>
            </w:tcBorders>
            <w:noWrap w:val="0"/>
            <w:vAlign w:val="center"/>
          </w:tcPr>
          <w:p>
            <w:pPr>
              <w:pStyle w:val="7"/>
              <w:spacing w:line="260" w:lineRule="exact"/>
              <w:jc w:val="left"/>
              <w:rPr>
                <w:rFonts w:hint="eastAsia" w:ascii="宋体" w:hAnsi="宋体" w:cs="宋体"/>
                <w:kern w:val="0"/>
                <w:szCs w:val="21"/>
              </w:rPr>
            </w:pPr>
            <w:r>
              <w:rPr>
                <w:rFonts w:hint="eastAsia" w:ascii="宋体" w:hAnsi="宋体" w:cs="仿宋_GB2312"/>
                <w:kern w:val="0"/>
                <w:sz w:val="20"/>
                <w:szCs w:val="20"/>
              </w:rPr>
              <w:t>落实安全工作常规信息和应急信息的报送机制；加强值班值宿管理；成立应急工作领导小组和处突小组；</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上半年</w:t>
            </w:r>
          </w:p>
        </w:tc>
      </w:tr>
      <w:tr>
        <w:tblPrEx>
          <w:tblCellMar>
            <w:top w:w="0" w:type="dxa"/>
            <w:left w:w="108" w:type="dxa"/>
            <w:bottom w:w="0" w:type="dxa"/>
            <w:right w:w="108" w:type="dxa"/>
          </w:tblCellMar>
        </w:tblPrEx>
        <w:trPr>
          <w:trHeight w:val="980" w:hRule="atLeast"/>
          <w:jc w:val="center"/>
        </w:trPr>
        <w:tc>
          <w:tcPr>
            <w:tcW w:w="481"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Cs w:val="21"/>
              </w:rPr>
            </w:pPr>
          </w:p>
        </w:tc>
        <w:tc>
          <w:tcPr>
            <w:tcW w:w="993" w:type="dxa"/>
            <w:vMerge w:val="continue"/>
            <w:tcBorders>
              <w:left w:val="single" w:color="auto" w:sz="4" w:space="0"/>
              <w:bottom w:val="single" w:color="auto" w:sz="4" w:space="0"/>
              <w:right w:val="single" w:color="auto" w:sz="4" w:space="0"/>
            </w:tcBorders>
            <w:noWrap w:val="0"/>
            <w:vAlign w:val="center"/>
          </w:tcPr>
          <w:p>
            <w:pPr>
              <w:jc w:val="left"/>
              <w:rPr>
                <w:rFonts w:ascii="宋体" w:hAnsi="宋体" w:cs="宋体"/>
                <w:b/>
                <w:bCs/>
                <w:kern w:val="0"/>
                <w:szCs w:val="21"/>
              </w:rPr>
            </w:pPr>
          </w:p>
        </w:tc>
        <w:tc>
          <w:tcPr>
            <w:tcW w:w="1189" w:type="dxa"/>
            <w:vMerge w:val="continue"/>
            <w:tcBorders>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cs="宋体"/>
                <w:kern w:val="0"/>
                <w:szCs w:val="21"/>
              </w:rPr>
            </w:pPr>
          </w:p>
        </w:tc>
        <w:tc>
          <w:tcPr>
            <w:tcW w:w="6290" w:type="dxa"/>
            <w:tcBorders>
              <w:top w:val="single" w:color="auto" w:sz="4" w:space="0"/>
              <w:left w:val="nil"/>
              <w:bottom w:val="single" w:color="auto" w:sz="4" w:space="0"/>
              <w:right w:val="single" w:color="auto" w:sz="4" w:space="0"/>
            </w:tcBorders>
            <w:noWrap w:val="0"/>
            <w:vAlign w:val="center"/>
          </w:tcPr>
          <w:p>
            <w:pPr>
              <w:spacing w:line="240" w:lineRule="exact"/>
              <w:rPr>
                <w:rFonts w:hint="eastAsia" w:ascii="宋体" w:hAnsi="宋体" w:cs="仿宋_GB2312"/>
                <w:kern w:val="0"/>
                <w:sz w:val="20"/>
                <w:szCs w:val="20"/>
              </w:rPr>
            </w:pPr>
            <w:r>
              <w:rPr>
                <w:rFonts w:hint="eastAsia" w:ascii="宋体" w:hAnsi="宋体" w:cs="仿宋_GB2312"/>
                <w:sz w:val="20"/>
                <w:szCs w:val="20"/>
              </w:rPr>
              <w:t>发生事故和案件，所在单位要立即启动应急预案， “一把手”要切实负起第一责任，</w:t>
            </w:r>
            <w:r>
              <w:rPr>
                <w:rFonts w:hint="eastAsia" w:ascii="宋体" w:hAnsi="宋体" w:cs="仿宋_GB2312"/>
                <w:kern w:val="0"/>
                <w:sz w:val="20"/>
                <w:szCs w:val="20"/>
              </w:rPr>
              <w:t>并根据事态进展情况续报，</w:t>
            </w:r>
            <w:r>
              <w:rPr>
                <w:rFonts w:hint="eastAsia" w:ascii="宋体" w:hAnsi="宋体" w:cs="仿宋_GB2312"/>
                <w:sz w:val="20"/>
                <w:szCs w:val="20"/>
              </w:rPr>
              <w:t>确保突发事件能够快速响应、正确应对，避免次生和衍生灾害的发生。</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全年</w:t>
            </w:r>
          </w:p>
        </w:tc>
      </w:tr>
      <w:tr>
        <w:tblPrEx>
          <w:tblCellMar>
            <w:top w:w="0" w:type="dxa"/>
            <w:left w:w="108" w:type="dxa"/>
            <w:bottom w:w="0" w:type="dxa"/>
            <w:right w:w="108" w:type="dxa"/>
          </w:tblCellMar>
        </w:tblPrEx>
        <w:trPr>
          <w:trHeight w:val="1121" w:hRule="atLeast"/>
          <w:jc w:val="center"/>
        </w:trPr>
        <w:tc>
          <w:tcPr>
            <w:tcW w:w="481" w:type="dxa"/>
            <w:vMerge w:val="restart"/>
            <w:tcBorders>
              <w:top w:val="single" w:color="auto" w:sz="4" w:space="0"/>
              <w:left w:val="single" w:color="auto" w:sz="4" w:space="0"/>
              <w:right w:val="single" w:color="auto" w:sz="4" w:space="0"/>
            </w:tcBorders>
            <w:noWrap w:val="0"/>
            <w:vAlign w:val="center"/>
          </w:tcPr>
          <w:p>
            <w:pPr>
              <w:widowControl/>
              <w:jc w:val="left"/>
              <w:rPr>
                <w:rFonts w:ascii="宋体" w:hAnsi="宋体" w:cs="宋体"/>
                <w:b/>
                <w:bCs/>
                <w:kern w:val="0"/>
                <w:szCs w:val="21"/>
              </w:rPr>
            </w:pPr>
            <w:r>
              <w:rPr>
                <w:rFonts w:hint="eastAsia" w:ascii="宋体" w:hAnsi="宋体" w:cs="宋体"/>
                <w:b/>
                <w:bCs/>
                <w:kern w:val="0"/>
                <w:szCs w:val="21"/>
              </w:rPr>
              <w:t>三</w:t>
            </w:r>
          </w:p>
        </w:tc>
        <w:tc>
          <w:tcPr>
            <w:tcW w:w="993"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rFonts w:hint="eastAsia" w:ascii="宋体" w:hAnsi="宋体"/>
                <w:szCs w:val="21"/>
              </w:rPr>
            </w:pPr>
            <w:r>
              <w:rPr>
                <w:rFonts w:hint="eastAsia" w:ascii="宋体" w:hAnsi="宋体"/>
                <w:szCs w:val="21"/>
              </w:rPr>
              <w:t>深化隐患治理，进一步完善安全工作体系重点建设</w:t>
            </w:r>
          </w:p>
          <w:p>
            <w:pPr>
              <w:jc w:val="left"/>
              <w:rPr>
                <w:rFonts w:ascii="宋体" w:hAnsi="宋体" w:cs="宋体"/>
                <w:b/>
                <w:bCs/>
                <w:kern w:val="0"/>
                <w:szCs w:val="21"/>
              </w:rPr>
            </w:pPr>
          </w:p>
        </w:tc>
        <w:tc>
          <w:tcPr>
            <w:tcW w:w="1189" w:type="dxa"/>
            <w:vMerge w:val="restart"/>
            <w:tcBorders>
              <w:top w:val="single" w:color="auto" w:sz="4" w:space="0"/>
              <w:left w:val="single" w:color="auto" w:sz="4" w:space="0"/>
              <w:right w:val="single" w:color="auto" w:sz="4" w:space="0"/>
            </w:tcBorders>
            <w:noWrap w:val="0"/>
            <w:vAlign w:val="center"/>
          </w:tcPr>
          <w:p>
            <w:pPr>
              <w:spacing w:line="260" w:lineRule="exact"/>
              <w:jc w:val="center"/>
              <w:rPr>
                <w:rFonts w:hint="eastAsia" w:ascii="宋体" w:hAnsi="宋体" w:cs="宋体"/>
                <w:kern w:val="0"/>
                <w:szCs w:val="21"/>
              </w:rPr>
            </w:pPr>
            <w:r>
              <w:rPr>
                <w:rFonts w:hint="eastAsia" w:ascii="宋体" w:hAnsi="宋体" w:cs="宋体"/>
                <w:kern w:val="0"/>
                <w:szCs w:val="21"/>
              </w:rPr>
              <w:t>9</w:t>
            </w:r>
          </w:p>
          <w:p>
            <w:pPr>
              <w:spacing w:line="260" w:lineRule="exact"/>
              <w:jc w:val="center"/>
              <w:rPr>
                <w:rFonts w:hint="eastAsia" w:ascii="宋体" w:hAnsi="宋体" w:cs="宋体"/>
                <w:kern w:val="0"/>
                <w:szCs w:val="21"/>
              </w:rPr>
            </w:pPr>
            <w:r>
              <w:rPr>
                <w:rFonts w:hint="eastAsia" w:ascii="宋体" w:hAnsi="宋体" w:cs="仿宋_GB2312"/>
                <w:kern w:val="0"/>
                <w:sz w:val="20"/>
                <w:szCs w:val="20"/>
              </w:rPr>
              <w:t>完善隐患排查整改</w:t>
            </w:r>
          </w:p>
        </w:tc>
        <w:tc>
          <w:tcPr>
            <w:tcW w:w="6290" w:type="dxa"/>
            <w:tcBorders>
              <w:top w:val="single" w:color="auto" w:sz="4" w:space="0"/>
              <w:left w:val="nil"/>
              <w:bottom w:val="single" w:color="auto" w:sz="4" w:space="0"/>
              <w:right w:val="single" w:color="auto" w:sz="4" w:space="0"/>
            </w:tcBorders>
            <w:noWrap w:val="0"/>
            <w:vAlign w:val="center"/>
          </w:tcPr>
          <w:p>
            <w:pPr>
              <w:pStyle w:val="7"/>
              <w:spacing w:line="260" w:lineRule="exact"/>
              <w:jc w:val="left"/>
              <w:rPr>
                <w:rFonts w:hint="eastAsia" w:ascii="宋体" w:hAnsi="宋体" w:cs="宋体"/>
                <w:kern w:val="0"/>
                <w:szCs w:val="21"/>
              </w:rPr>
            </w:pPr>
            <w:r>
              <w:rPr>
                <w:rFonts w:hint="eastAsia" w:ascii="宋体" w:hAnsi="宋体" w:cs="仿宋_GB2312"/>
                <w:sz w:val="20"/>
                <w:szCs w:val="20"/>
              </w:rPr>
              <w:t>实施每年立体式校园安全“五查”，将“三查、三改、三防”制度落到实处,做到日巡查、周调度、月报告，确保每半月开展1次校园安全隐患自查、自报、自改情况同步上传“长春市学校安全工作综合监管平台”；</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全年</w:t>
            </w:r>
          </w:p>
        </w:tc>
      </w:tr>
      <w:tr>
        <w:tblPrEx>
          <w:tblCellMar>
            <w:top w:w="0" w:type="dxa"/>
            <w:left w:w="108" w:type="dxa"/>
            <w:bottom w:w="0" w:type="dxa"/>
            <w:right w:w="108" w:type="dxa"/>
          </w:tblCellMar>
        </w:tblPrEx>
        <w:trPr>
          <w:trHeight w:val="1563" w:hRule="atLeast"/>
          <w:jc w:val="center"/>
        </w:trPr>
        <w:tc>
          <w:tcPr>
            <w:tcW w:w="481" w:type="dxa"/>
            <w:vMerge w:val="continue"/>
            <w:tcBorders>
              <w:left w:val="single" w:color="auto" w:sz="4" w:space="0"/>
              <w:right w:val="single" w:color="auto" w:sz="4" w:space="0"/>
            </w:tcBorders>
            <w:noWrap w:val="0"/>
            <w:vAlign w:val="center"/>
          </w:tcPr>
          <w:p>
            <w:pPr>
              <w:widowControl/>
              <w:jc w:val="left"/>
              <w:rPr>
                <w:rFonts w:hint="eastAsia" w:ascii="宋体" w:hAnsi="宋体" w:cs="宋体"/>
                <w:b/>
                <w:bCs/>
                <w:kern w:val="0"/>
                <w:szCs w:val="21"/>
              </w:rPr>
            </w:pPr>
          </w:p>
        </w:tc>
        <w:tc>
          <w:tcPr>
            <w:tcW w:w="993" w:type="dxa"/>
            <w:vMerge w:val="continue"/>
            <w:tcBorders>
              <w:left w:val="single" w:color="auto" w:sz="4" w:space="0"/>
              <w:right w:val="single" w:color="auto" w:sz="4" w:space="0"/>
            </w:tcBorders>
            <w:noWrap w:val="0"/>
            <w:vAlign w:val="center"/>
          </w:tcPr>
          <w:p>
            <w:pPr>
              <w:widowControl/>
              <w:spacing w:line="240" w:lineRule="exact"/>
              <w:ind w:firstLine="411" w:firstLineChars="196"/>
              <w:jc w:val="left"/>
              <w:rPr>
                <w:rFonts w:hint="eastAsia" w:ascii="宋体" w:hAnsi="宋体"/>
                <w:szCs w:val="21"/>
              </w:rPr>
            </w:pPr>
          </w:p>
        </w:tc>
        <w:tc>
          <w:tcPr>
            <w:tcW w:w="1189" w:type="dxa"/>
            <w:vMerge w:val="continue"/>
            <w:tcBorders>
              <w:left w:val="single" w:color="auto" w:sz="4" w:space="0"/>
              <w:right w:val="single" w:color="auto" w:sz="4" w:space="0"/>
            </w:tcBorders>
            <w:noWrap w:val="0"/>
            <w:vAlign w:val="center"/>
          </w:tcPr>
          <w:p>
            <w:pPr>
              <w:spacing w:line="260" w:lineRule="exact"/>
              <w:jc w:val="center"/>
              <w:rPr>
                <w:rFonts w:hint="eastAsia" w:ascii="宋体" w:hAnsi="宋体" w:cs="宋体"/>
                <w:kern w:val="0"/>
                <w:szCs w:val="21"/>
              </w:rPr>
            </w:pPr>
          </w:p>
        </w:tc>
        <w:tc>
          <w:tcPr>
            <w:tcW w:w="6290" w:type="dxa"/>
            <w:tcBorders>
              <w:top w:val="single" w:color="auto" w:sz="4" w:space="0"/>
              <w:left w:val="nil"/>
              <w:right w:val="single" w:color="auto" w:sz="4" w:space="0"/>
            </w:tcBorders>
            <w:noWrap w:val="0"/>
            <w:vAlign w:val="center"/>
          </w:tcPr>
          <w:p>
            <w:pPr>
              <w:pStyle w:val="7"/>
              <w:spacing w:line="260" w:lineRule="exact"/>
              <w:jc w:val="left"/>
              <w:rPr>
                <w:rFonts w:hint="eastAsia" w:ascii="宋体" w:hAnsi="宋体" w:cs="宋体"/>
                <w:kern w:val="0"/>
                <w:szCs w:val="21"/>
              </w:rPr>
            </w:pPr>
            <w:r>
              <w:rPr>
                <w:rFonts w:hint="eastAsia" w:ascii="宋体" w:hAnsi="宋体" w:cs="仿宋_GB2312"/>
                <w:sz w:val="20"/>
                <w:szCs w:val="20"/>
              </w:rPr>
              <w:t>根据上级安排开展冬春防火、夏季攻坚、秋冬会战等安全生产专项检查；按照上级相关部门做好新冠肺炎疫情防控校园安全工作；完成市教育局县（市）区教育行</w:t>
            </w:r>
            <w:r>
              <w:rPr>
                <w:rFonts w:hint="eastAsia" w:ascii="宋体" w:hAnsi="宋体" w:cs="仿宋_GB2312"/>
                <w:bCs/>
                <w:sz w:val="20"/>
                <w:szCs w:val="20"/>
              </w:rPr>
              <w:t>政部门之间互查及</w:t>
            </w:r>
            <w:r>
              <w:rPr>
                <w:rFonts w:hint="eastAsia" w:ascii="宋体" w:hAnsi="宋体" w:cs="仿宋_GB2312"/>
                <w:sz w:val="20"/>
                <w:szCs w:val="20"/>
              </w:rPr>
              <w:t>聘请应急管理专家，引进第三方服务开展的安全专项检查；完成区域内上下半年“校际间”交叉互检；积极配合其他行业部门专项检查。</w:t>
            </w:r>
          </w:p>
        </w:tc>
        <w:tc>
          <w:tcPr>
            <w:tcW w:w="992" w:type="dxa"/>
            <w:tcBorders>
              <w:top w:val="single" w:color="auto" w:sz="4" w:space="0"/>
              <w:left w:val="nil"/>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全年</w:t>
            </w:r>
          </w:p>
        </w:tc>
      </w:tr>
      <w:tr>
        <w:tblPrEx>
          <w:tblCellMar>
            <w:top w:w="0" w:type="dxa"/>
            <w:left w:w="108" w:type="dxa"/>
            <w:bottom w:w="0" w:type="dxa"/>
            <w:right w:w="108" w:type="dxa"/>
          </w:tblCellMar>
        </w:tblPrEx>
        <w:trPr>
          <w:trHeight w:val="976" w:hRule="atLeast"/>
          <w:jc w:val="center"/>
        </w:trPr>
        <w:tc>
          <w:tcPr>
            <w:tcW w:w="481" w:type="dxa"/>
            <w:vMerge w:val="continue"/>
            <w:tcBorders>
              <w:left w:val="single" w:color="auto" w:sz="4" w:space="0"/>
              <w:right w:val="single" w:color="auto" w:sz="4" w:space="0"/>
            </w:tcBorders>
            <w:noWrap w:val="0"/>
            <w:vAlign w:val="center"/>
          </w:tcPr>
          <w:p>
            <w:pPr>
              <w:widowControl/>
              <w:jc w:val="left"/>
              <w:rPr>
                <w:rFonts w:hint="eastAsia" w:ascii="宋体" w:hAnsi="宋体" w:cs="宋体"/>
                <w:b/>
                <w:bCs/>
                <w:kern w:val="0"/>
                <w:szCs w:val="21"/>
              </w:rPr>
            </w:pPr>
          </w:p>
        </w:tc>
        <w:tc>
          <w:tcPr>
            <w:tcW w:w="993" w:type="dxa"/>
            <w:vMerge w:val="continue"/>
            <w:tcBorders>
              <w:left w:val="single" w:color="auto" w:sz="4" w:space="0"/>
              <w:right w:val="single" w:color="auto" w:sz="4" w:space="0"/>
            </w:tcBorders>
            <w:noWrap w:val="0"/>
            <w:vAlign w:val="center"/>
          </w:tcPr>
          <w:p>
            <w:pPr>
              <w:widowControl/>
              <w:spacing w:line="240" w:lineRule="exact"/>
              <w:ind w:firstLine="411" w:firstLineChars="196"/>
              <w:jc w:val="left"/>
              <w:rPr>
                <w:rFonts w:hint="eastAsia" w:ascii="宋体" w:hAnsi="宋体"/>
                <w:szCs w:val="21"/>
              </w:rPr>
            </w:pPr>
          </w:p>
        </w:tc>
        <w:tc>
          <w:tcPr>
            <w:tcW w:w="1189" w:type="dxa"/>
            <w:vMerge w:val="continue"/>
            <w:tcBorders>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cs="宋体"/>
                <w:kern w:val="0"/>
                <w:szCs w:val="21"/>
              </w:rPr>
            </w:pPr>
          </w:p>
        </w:tc>
        <w:tc>
          <w:tcPr>
            <w:tcW w:w="6290" w:type="dxa"/>
            <w:tcBorders>
              <w:top w:val="single" w:color="auto" w:sz="4" w:space="0"/>
              <w:left w:val="nil"/>
              <w:bottom w:val="single" w:color="auto" w:sz="4" w:space="0"/>
              <w:right w:val="single" w:color="auto" w:sz="4" w:space="0"/>
            </w:tcBorders>
            <w:noWrap w:val="0"/>
            <w:vAlign w:val="center"/>
          </w:tcPr>
          <w:p>
            <w:pPr>
              <w:spacing w:line="240" w:lineRule="exact"/>
              <w:rPr>
                <w:rFonts w:hint="eastAsia" w:ascii="宋体" w:hAnsi="宋体" w:cs="仿宋_GB2312"/>
                <w:sz w:val="20"/>
                <w:szCs w:val="20"/>
              </w:rPr>
            </w:pPr>
            <w:r>
              <w:rPr>
                <w:rFonts w:hint="eastAsia" w:ascii="宋体" w:hAnsi="宋体" w:cs="仿宋_GB2312"/>
                <w:sz w:val="20"/>
                <w:szCs w:val="20"/>
              </w:rPr>
              <w:t>针对各级相关业务部门的不定期督查，学校要制定整改方案，明确责任人、时间表和路线图，建立整改台账，形成整改报告上报分管部门，从源头上堵塞安全隐患进入校园的通道。</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全年</w:t>
            </w:r>
          </w:p>
        </w:tc>
      </w:tr>
      <w:tr>
        <w:tblPrEx>
          <w:tblCellMar>
            <w:top w:w="0" w:type="dxa"/>
            <w:left w:w="108" w:type="dxa"/>
            <w:bottom w:w="0" w:type="dxa"/>
            <w:right w:w="108" w:type="dxa"/>
          </w:tblCellMar>
        </w:tblPrEx>
        <w:trPr>
          <w:trHeight w:val="2124" w:hRule="atLeast"/>
          <w:jc w:val="center"/>
        </w:trPr>
        <w:tc>
          <w:tcPr>
            <w:tcW w:w="481" w:type="dxa"/>
            <w:vMerge w:val="continue"/>
            <w:tcBorders>
              <w:left w:val="single" w:color="auto" w:sz="4" w:space="0"/>
              <w:right w:val="single" w:color="auto" w:sz="4" w:space="0"/>
            </w:tcBorders>
            <w:noWrap w:val="0"/>
            <w:vAlign w:val="center"/>
          </w:tcPr>
          <w:p>
            <w:pPr>
              <w:widowControl/>
              <w:jc w:val="left"/>
              <w:rPr>
                <w:rFonts w:ascii="宋体" w:hAnsi="宋体" w:cs="宋体"/>
                <w:b/>
                <w:bCs/>
                <w:kern w:val="0"/>
                <w:szCs w:val="21"/>
              </w:rPr>
            </w:pPr>
          </w:p>
        </w:tc>
        <w:tc>
          <w:tcPr>
            <w:tcW w:w="993" w:type="dxa"/>
            <w:vMerge w:val="continue"/>
            <w:tcBorders>
              <w:left w:val="single" w:color="auto" w:sz="4" w:space="0"/>
              <w:right w:val="single" w:color="auto" w:sz="4" w:space="0"/>
            </w:tcBorders>
            <w:noWrap w:val="0"/>
            <w:vAlign w:val="center"/>
          </w:tcPr>
          <w:p>
            <w:pPr>
              <w:jc w:val="left"/>
              <w:rPr>
                <w:rFonts w:ascii="宋体" w:hAnsi="宋体" w:cs="宋体"/>
                <w:b/>
                <w:bCs/>
                <w:kern w:val="0"/>
                <w:szCs w:val="21"/>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cs="宋体"/>
                <w:kern w:val="0"/>
                <w:szCs w:val="21"/>
              </w:rPr>
            </w:pPr>
            <w:r>
              <w:rPr>
                <w:rFonts w:hint="eastAsia" w:ascii="宋体" w:hAnsi="宋体" w:cs="宋体"/>
                <w:kern w:val="0"/>
                <w:szCs w:val="21"/>
              </w:rPr>
              <w:t>10</w:t>
            </w:r>
          </w:p>
          <w:p>
            <w:pPr>
              <w:spacing w:line="260" w:lineRule="exact"/>
              <w:jc w:val="center"/>
              <w:rPr>
                <w:rFonts w:hint="eastAsia" w:ascii="宋体" w:hAnsi="宋体" w:cs="宋体"/>
                <w:kern w:val="0"/>
                <w:szCs w:val="21"/>
              </w:rPr>
            </w:pPr>
            <w:r>
              <w:rPr>
                <w:rFonts w:hint="eastAsia" w:ascii="宋体" w:hAnsi="宋体" w:cs="仿宋_GB2312"/>
                <w:kern w:val="0"/>
                <w:sz w:val="20"/>
                <w:szCs w:val="20"/>
              </w:rPr>
              <w:t>完善消防安全工作</w:t>
            </w:r>
          </w:p>
        </w:tc>
        <w:tc>
          <w:tcPr>
            <w:tcW w:w="6290" w:type="dxa"/>
            <w:tcBorders>
              <w:top w:val="single" w:color="auto" w:sz="4" w:space="0"/>
              <w:left w:val="nil"/>
              <w:bottom w:val="single" w:color="auto" w:sz="4" w:space="0"/>
              <w:right w:val="single" w:color="auto" w:sz="4" w:space="0"/>
            </w:tcBorders>
            <w:noWrap w:val="0"/>
            <w:vAlign w:val="center"/>
          </w:tcPr>
          <w:p>
            <w:pPr>
              <w:pStyle w:val="7"/>
              <w:spacing w:line="260" w:lineRule="exact"/>
              <w:jc w:val="left"/>
              <w:rPr>
                <w:rFonts w:hint="eastAsia" w:ascii="宋体" w:hAnsi="宋体" w:cs="宋体"/>
                <w:kern w:val="0"/>
                <w:szCs w:val="21"/>
              </w:rPr>
            </w:pPr>
            <w:r>
              <w:rPr>
                <w:rFonts w:hint="eastAsia" w:ascii="宋体" w:hAnsi="宋体" w:cs="仿宋_GB2312"/>
                <w:sz w:val="20"/>
                <w:szCs w:val="20"/>
              </w:rPr>
              <w:t>按照国家标准、行业标准配置消防设施、器材，设置消防安全标志，并定期组织检验、维修，完善微型消防站、食堂自动灭火装置建设，加强对违规电器和危化品的安全管理；确保消防通道、消防救援通道畅通；年度内要聘请有资质的单位对建筑消防设施设备进行消防、用电设施设备及防雷设施设备检测，检测记录存档备查；加强消防安全“四个能力”建设，每学期至少组织师生参加1次消防安全培训、进行1次消防安全演练。</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全年</w:t>
            </w:r>
          </w:p>
        </w:tc>
      </w:tr>
      <w:tr>
        <w:tblPrEx>
          <w:tblCellMar>
            <w:top w:w="0" w:type="dxa"/>
            <w:left w:w="108" w:type="dxa"/>
            <w:bottom w:w="0" w:type="dxa"/>
            <w:right w:w="108" w:type="dxa"/>
          </w:tblCellMar>
        </w:tblPrEx>
        <w:trPr>
          <w:trHeight w:val="963" w:hRule="atLeast"/>
          <w:jc w:val="center"/>
        </w:trPr>
        <w:tc>
          <w:tcPr>
            <w:tcW w:w="481" w:type="dxa"/>
            <w:vMerge w:val="continue"/>
            <w:tcBorders>
              <w:left w:val="single" w:color="auto" w:sz="4" w:space="0"/>
              <w:right w:val="single" w:color="auto" w:sz="4" w:space="0"/>
            </w:tcBorders>
            <w:noWrap w:val="0"/>
            <w:vAlign w:val="center"/>
          </w:tcPr>
          <w:p>
            <w:pPr>
              <w:widowControl/>
              <w:jc w:val="left"/>
              <w:rPr>
                <w:rFonts w:ascii="宋体" w:hAnsi="宋体" w:cs="宋体"/>
                <w:b/>
                <w:bCs/>
                <w:kern w:val="0"/>
                <w:szCs w:val="21"/>
              </w:rPr>
            </w:pPr>
          </w:p>
        </w:tc>
        <w:tc>
          <w:tcPr>
            <w:tcW w:w="993" w:type="dxa"/>
            <w:vMerge w:val="continue"/>
            <w:tcBorders>
              <w:left w:val="single" w:color="auto" w:sz="4" w:space="0"/>
              <w:right w:val="single" w:color="auto" w:sz="4" w:space="0"/>
            </w:tcBorders>
            <w:noWrap w:val="0"/>
            <w:vAlign w:val="center"/>
          </w:tcPr>
          <w:p>
            <w:pPr>
              <w:jc w:val="left"/>
              <w:rPr>
                <w:rFonts w:ascii="宋体" w:hAnsi="宋体" w:cs="宋体"/>
                <w:b/>
                <w:bCs/>
                <w:kern w:val="0"/>
                <w:szCs w:val="21"/>
              </w:rPr>
            </w:pPr>
          </w:p>
        </w:tc>
        <w:tc>
          <w:tcPr>
            <w:tcW w:w="1189" w:type="dxa"/>
            <w:vMerge w:val="restart"/>
            <w:tcBorders>
              <w:top w:val="single" w:color="auto" w:sz="4" w:space="0"/>
              <w:left w:val="single" w:color="auto" w:sz="4" w:space="0"/>
              <w:right w:val="single" w:color="auto" w:sz="4" w:space="0"/>
            </w:tcBorders>
            <w:noWrap w:val="0"/>
            <w:vAlign w:val="center"/>
          </w:tcPr>
          <w:p>
            <w:pPr>
              <w:spacing w:line="260" w:lineRule="exact"/>
              <w:jc w:val="center"/>
              <w:rPr>
                <w:rFonts w:hint="eastAsia" w:ascii="宋体" w:hAnsi="宋体" w:cs="宋体"/>
                <w:kern w:val="0"/>
                <w:szCs w:val="21"/>
              </w:rPr>
            </w:pPr>
            <w:r>
              <w:rPr>
                <w:rFonts w:hint="eastAsia" w:ascii="宋体" w:hAnsi="宋体" w:cs="宋体"/>
                <w:kern w:val="0"/>
                <w:szCs w:val="21"/>
              </w:rPr>
              <w:t>11</w:t>
            </w:r>
          </w:p>
          <w:p>
            <w:pPr>
              <w:spacing w:line="260" w:lineRule="exact"/>
              <w:jc w:val="center"/>
              <w:rPr>
                <w:rFonts w:hint="eastAsia" w:ascii="宋体" w:hAnsi="宋体" w:cs="宋体"/>
                <w:kern w:val="0"/>
                <w:szCs w:val="21"/>
              </w:rPr>
            </w:pPr>
            <w:r>
              <w:rPr>
                <w:rFonts w:hint="eastAsia" w:ascii="宋体" w:hAnsi="宋体"/>
                <w:sz w:val="20"/>
                <w:szCs w:val="20"/>
              </w:rPr>
              <w:t>完善交通安全工作</w:t>
            </w:r>
          </w:p>
        </w:tc>
        <w:tc>
          <w:tcPr>
            <w:tcW w:w="6290" w:type="dxa"/>
            <w:tcBorders>
              <w:top w:val="single" w:color="auto" w:sz="4" w:space="0"/>
              <w:left w:val="nil"/>
              <w:bottom w:val="single" w:color="auto" w:sz="4" w:space="0"/>
              <w:right w:val="single" w:color="auto" w:sz="4" w:space="0"/>
            </w:tcBorders>
            <w:noWrap w:val="0"/>
            <w:vAlign w:val="center"/>
          </w:tcPr>
          <w:p>
            <w:pPr>
              <w:spacing w:line="240" w:lineRule="exact"/>
              <w:rPr>
                <w:rFonts w:hint="eastAsia" w:ascii="宋体" w:hAnsi="宋体" w:cs="仿宋_GB2312"/>
                <w:sz w:val="20"/>
                <w:szCs w:val="20"/>
              </w:rPr>
            </w:pPr>
            <w:r>
              <w:rPr>
                <w:rFonts w:hint="eastAsia" w:ascii="宋体" w:hAnsi="宋体" w:cs="仿宋_GB2312"/>
                <w:sz w:val="20"/>
                <w:szCs w:val="20"/>
              </w:rPr>
              <w:t>积极配合公安和交警部门加强校园及周边交通秩序管理，加大对非法接送学生车辆的整治力度，保证学生上放学交通安全；</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全年</w:t>
            </w:r>
          </w:p>
        </w:tc>
      </w:tr>
      <w:tr>
        <w:tblPrEx>
          <w:tblCellMar>
            <w:top w:w="0" w:type="dxa"/>
            <w:left w:w="108" w:type="dxa"/>
            <w:bottom w:w="0" w:type="dxa"/>
            <w:right w:w="108" w:type="dxa"/>
          </w:tblCellMar>
        </w:tblPrEx>
        <w:trPr>
          <w:trHeight w:val="1275" w:hRule="atLeast"/>
          <w:jc w:val="center"/>
        </w:trPr>
        <w:tc>
          <w:tcPr>
            <w:tcW w:w="481" w:type="dxa"/>
            <w:vMerge w:val="continue"/>
            <w:tcBorders>
              <w:left w:val="single" w:color="auto" w:sz="4" w:space="0"/>
              <w:right w:val="single" w:color="auto" w:sz="4" w:space="0"/>
            </w:tcBorders>
            <w:noWrap w:val="0"/>
            <w:vAlign w:val="center"/>
          </w:tcPr>
          <w:p>
            <w:pPr>
              <w:widowControl/>
              <w:jc w:val="left"/>
              <w:rPr>
                <w:rFonts w:ascii="宋体" w:hAnsi="宋体" w:cs="宋体"/>
                <w:b/>
                <w:bCs/>
                <w:kern w:val="0"/>
                <w:szCs w:val="21"/>
              </w:rPr>
            </w:pPr>
          </w:p>
        </w:tc>
        <w:tc>
          <w:tcPr>
            <w:tcW w:w="993" w:type="dxa"/>
            <w:vMerge w:val="continue"/>
            <w:tcBorders>
              <w:left w:val="single" w:color="auto" w:sz="4" w:space="0"/>
              <w:right w:val="single" w:color="auto" w:sz="4" w:space="0"/>
            </w:tcBorders>
            <w:noWrap w:val="0"/>
            <w:vAlign w:val="center"/>
          </w:tcPr>
          <w:p>
            <w:pPr>
              <w:jc w:val="left"/>
              <w:rPr>
                <w:rFonts w:ascii="宋体" w:hAnsi="宋体" w:cs="宋体"/>
                <w:b/>
                <w:bCs/>
                <w:kern w:val="0"/>
                <w:szCs w:val="21"/>
              </w:rPr>
            </w:pPr>
          </w:p>
        </w:tc>
        <w:tc>
          <w:tcPr>
            <w:tcW w:w="1189" w:type="dxa"/>
            <w:vMerge w:val="continue"/>
            <w:tcBorders>
              <w:left w:val="single" w:color="auto" w:sz="4" w:space="0"/>
              <w:right w:val="single" w:color="auto" w:sz="4" w:space="0"/>
            </w:tcBorders>
            <w:noWrap w:val="0"/>
            <w:vAlign w:val="center"/>
          </w:tcPr>
          <w:p>
            <w:pPr>
              <w:spacing w:line="260" w:lineRule="exact"/>
              <w:jc w:val="center"/>
              <w:rPr>
                <w:rFonts w:hint="eastAsia" w:ascii="宋体" w:hAnsi="宋体" w:cs="宋体"/>
                <w:kern w:val="0"/>
                <w:szCs w:val="21"/>
              </w:rPr>
            </w:pPr>
          </w:p>
        </w:tc>
        <w:tc>
          <w:tcPr>
            <w:tcW w:w="6290" w:type="dxa"/>
            <w:tcBorders>
              <w:top w:val="single" w:color="auto" w:sz="4" w:space="0"/>
              <w:left w:val="nil"/>
              <w:bottom w:val="single" w:color="auto" w:sz="4" w:space="0"/>
              <w:right w:val="single" w:color="auto" w:sz="4" w:space="0"/>
            </w:tcBorders>
            <w:noWrap w:val="0"/>
            <w:vAlign w:val="center"/>
          </w:tcPr>
          <w:p>
            <w:pPr>
              <w:spacing w:line="240" w:lineRule="exact"/>
              <w:rPr>
                <w:rFonts w:hint="eastAsia" w:ascii="宋体" w:hAnsi="宋体" w:cs="仿宋_GB2312"/>
                <w:sz w:val="20"/>
                <w:szCs w:val="20"/>
              </w:rPr>
            </w:pPr>
            <w:r>
              <w:rPr>
                <w:rFonts w:hint="eastAsia" w:ascii="宋体" w:hAnsi="宋体" w:cs="仿宋_GB2312"/>
                <w:sz w:val="20"/>
                <w:szCs w:val="20"/>
              </w:rPr>
              <w:t>组织大型活动需要租用车辆的，要选择合法的车辆运输经营者，其车辆和从业人员应当符合行业有关规定（小学生和幼儿要乘坐专用校车），并与租用单位签订安全责任书；</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全年</w:t>
            </w:r>
          </w:p>
        </w:tc>
      </w:tr>
      <w:tr>
        <w:tblPrEx>
          <w:tblCellMar>
            <w:top w:w="0" w:type="dxa"/>
            <w:left w:w="108" w:type="dxa"/>
            <w:bottom w:w="0" w:type="dxa"/>
            <w:right w:w="108" w:type="dxa"/>
          </w:tblCellMar>
        </w:tblPrEx>
        <w:trPr>
          <w:trHeight w:val="1123" w:hRule="atLeast"/>
          <w:jc w:val="center"/>
        </w:trPr>
        <w:tc>
          <w:tcPr>
            <w:tcW w:w="481" w:type="dxa"/>
            <w:vMerge w:val="continue"/>
            <w:tcBorders>
              <w:left w:val="single" w:color="auto" w:sz="4" w:space="0"/>
              <w:right w:val="single" w:color="auto" w:sz="4" w:space="0"/>
            </w:tcBorders>
            <w:noWrap w:val="0"/>
            <w:vAlign w:val="center"/>
          </w:tcPr>
          <w:p>
            <w:pPr>
              <w:widowControl/>
              <w:jc w:val="left"/>
              <w:rPr>
                <w:rFonts w:ascii="宋体" w:hAnsi="宋体" w:cs="宋体"/>
                <w:b/>
                <w:bCs/>
                <w:kern w:val="0"/>
                <w:szCs w:val="21"/>
              </w:rPr>
            </w:pPr>
          </w:p>
        </w:tc>
        <w:tc>
          <w:tcPr>
            <w:tcW w:w="993" w:type="dxa"/>
            <w:vMerge w:val="continue"/>
            <w:tcBorders>
              <w:left w:val="single" w:color="auto" w:sz="4" w:space="0"/>
              <w:right w:val="single" w:color="auto" w:sz="4" w:space="0"/>
            </w:tcBorders>
            <w:noWrap w:val="0"/>
            <w:vAlign w:val="center"/>
          </w:tcPr>
          <w:p>
            <w:pPr>
              <w:jc w:val="left"/>
              <w:rPr>
                <w:rFonts w:ascii="宋体" w:hAnsi="宋体" w:cs="宋体"/>
                <w:b/>
                <w:bCs/>
                <w:kern w:val="0"/>
                <w:szCs w:val="21"/>
              </w:rPr>
            </w:pPr>
          </w:p>
        </w:tc>
        <w:tc>
          <w:tcPr>
            <w:tcW w:w="1189" w:type="dxa"/>
            <w:vMerge w:val="continue"/>
            <w:tcBorders>
              <w:left w:val="single" w:color="auto" w:sz="4" w:space="0"/>
              <w:right w:val="single" w:color="auto" w:sz="4" w:space="0"/>
            </w:tcBorders>
            <w:noWrap w:val="0"/>
            <w:vAlign w:val="center"/>
          </w:tcPr>
          <w:p>
            <w:pPr>
              <w:spacing w:line="260" w:lineRule="exact"/>
              <w:jc w:val="center"/>
              <w:rPr>
                <w:rFonts w:hint="eastAsia" w:ascii="宋体" w:hAnsi="宋体" w:cs="宋体"/>
                <w:kern w:val="0"/>
                <w:szCs w:val="21"/>
              </w:rPr>
            </w:pPr>
          </w:p>
        </w:tc>
        <w:tc>
          <w:tcPr>
            <w:tcW w:w="6290" w:type="dxa"/>
            <w:tcBorders>
              <w:top w:val="single" w:color="auto" w:sz="4" w:space="0"/>
              <w:left w:val="nil"/>
              <w:bottom w:val="single" w:color="auto" w:sz="4" w:space="0"/>
              <w:right w:val="single" w:color="auto" w:sz="4" w:space="0"/>
            </w:tcBorders>
            <w:noWrap w:val="0"/>
            <w:vAlign w:val="center"/>
          </w:tcPr>
          <w:p>
            <w:pPr>
              <w:spacing w:line="240" w:lineRule="exact"/>
              <w:rPr>
                <w:rFonts w:hint="eastAsia" w:ascii="宋体" w:hAnsi="宋体" w:cs="仿宋_GB2312"/>
                <w:sz w:val="20"/>
                <w:szCs w:val="20"/>
              </w:rPr>
            </w:pPr>
            <w:r>
              <w:rPr>
                <w:rFonts w:hint="eastAsia" w:ascii="宋体" w:hAnsi="宋体" w:cs="仿宋_GB2312"/>
                <w:sz w:val="20"/>
                <w:szCs w:val="20"/>
              </w:rPr>
              <w:t>抓好交通法规和交通安全知识教育，教育学生严禁搭乘“非法车辆”；每学期要组织乘车师生进行一次乘车安全应急演练；要密切关注当地气象部门的预警信息，根据不同的预警级别，及时启动应对预案；</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全年</w:t>
            </w:r>
          </w:p>
        </w:tc>
      </w:tr>
      <w:tr>
        <w:tblPrEx>
          <w:tblCellMar>
            <w:top w:w="0" w:type="dxa"/>
            <w:left w:w="108" w:type="dxa"/>
            <w:bottom w:w="0" w:type="dxa"/>
            <w:right w:w="108" w:type="dxa"/>
          </w:tblCellMar>
        </w:tblPrEx>
        <w:trPr>
          <w:trHeight w:val="1267" w:hRule="atLeast"/>
          <w:jc w:val="center"/>
        </w:trPr>
        <w:tc>
          <w:tcPr>
            <w:tcW w:w="481" w:type="dxa"/>
            <w:vMerge w:val="continue"/>
            <w:tcBorders>
              <w:left w:val="single" w:color="auto" w:sz="4" w:space="0"/>
              <w:right w:val="single" w:color="auto" w:sz="4" w:space="0"/>
            </w:tcBorders>
            <w:noWrap w:val="0"/>
            <w:vAlign w:val="center"/>
          </w:tcPr>
          <w:p>
            <w:pPr>
              <w:widowControl/>
              <w:jc w:val="left"/>
              <w:rPr>
                <w:rFonts w:ascii="宋体" w:hAnsi="宋体" w:cs="宋体"/>
                <w:b/>
                <w:bCs/>
                <w:kern w:val="0"/>
                <w:szCs w:val="21"/>
              </w:rPr>
            </w:pPr>
          </w:p>
        </w:tc>
        <w:tc>
          <w:tcPr>
            <w:tcW w:w="993" w:type="dxa"/>
            <w:vMerge w:val="continue"/>
            <w:tcBorders>
              <w:left w:val="single" w:color="auto" w:sz="4" w:space="0"/>
              <w:right w:val="single" w:color="auto" w:sz="4" w:space="0"/>
            </w:tcBorders>
            <w:noWrap w:val="0"/>
            <w:vAlign w:val="center"/>
          </w:tcPr>
          <w:p>
            <w:pPr>
              <w:jc w:val="left"/>
              <w:rPr>
                <w:rFonts w:ascii="宋体" w:hAnsi="宋体" w:cs="宋体"/>
                <w:b/>
                <w:bCs/>
                <w:kern w:val="0"/>
                <w:szCs w:val="21"/>
              </w:rPr>
            </w:pPr>
          </w:p>
        </w:tc>
        <w:tc>
          <w:tcPr>
            <w:tcW w:w="1189" w:type="dxa"/>
            <w:vMerge w:val="continue"/>
            <w:tcBorders>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cs="宋体"/>
                <w:kern w:val="0"/>
                <w:szCs w:val="21"/>
              </w:rPr>
            </w:pPr>
          </w:p>
        </w:tc>
        <w:tc>
          <w:tcPr>
            <w:tcW w:w="6290" w:type="dxa"/>
            <w:tcBorders>
              <w:top w:val="single" w:color="auto" w:sz="4" w:space="0"/>
              <w:left w:val="nil"/>
              <w:bottom w:val="single" w:color="auto" w:sz="4" w:space="0"/>
              <w:right w:val="single" w:color="auto" w:sz="4" w:space="0"/>
            </w:tcBorders>
            <w:noWrap w:val="0"/>
            <w:vAlign w:val="center"/>
          </w:tcPr>
          <w:p>
            <w:pPr>
              <w:spacing w:line="240" w:lineRule="exact"/>
              <w:rPr>
                <w:rFonts w:hint="eastAsia" w:ascii="宋体" w:hAnsi="宋体" w:cs="仿宋_GB2312"/>
                <w:sz w:val="20"/>
                <w:szCs w:val="20"/>
              </w:rPr>
            </w:pPr>
            <w:r>
              <w:rPr>
                <w:rFonts w:hint="eastAsia" w:ascii="宋体" w:hAnsi="宋体" w:cs="仿宋_GB2312"/>
                <w:sz w:val="20"/>
                <w:szCs w:val="20"/>
              </w:rPr>
              <w:t>学校和校车服务提供者要定期进行校车维护检修和安全技术检验，发现问题，及时处理，确保校车不“带病”上路。按市教育局统一要求，推进校车许可证申请工作，积极</w:t>
            </w:r>
            <w:r>
              <w:rPr>
                <w:rFonts w:hint="eastAsia" w:ascii="宋体" w:hAnsi="宋体" w:cs="仿宋_GB2312"/>
                <w:bCs/>
                <w:sz w:val="20"/>
                <w:szCs w:val="20"/>
              </w:rPr>
              <w:t>探索校车规模化、规范化管理的有效途径和办法，规范校车安全管理。</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每学期初</w:t>
            </w:r>
          </w:p>
        </w:tc>
      </w:tr>
      <w:tr>
        <w:tblPrEx>
          <w:tblCellMar>
            <w:top w:w="0" w:type="dxa"/>
            <w:left w:w="108" w:type="dxa"/>
            <w:bottom w:w="0" w:type="dxa"/>
            <w:right w:w="108" w:type="dxa"/>
          </w:tblCellMar>
        </w:tblPrEx>
        <w:trPr>
          <w:trHeight w:val="983" w:hRule="atLeast"/>
          <w:jc w:val="center"/>
        </w:trPr>
        <w:tc>
          <w:tcPr>
            <w:tcW w:w="481" w:type="dxa"/>
            <w:vMerge w:val="continue"/>
            <w:tcBorders>
              <w:left w:val="single" w:color="auto" w:sz="4" w:space="0"/>
              <w:right w:val="single" w:color="auto" w:sz="4" w:space="0"/>
            </w:tcBorders>
            <w:noWrap w:val="0"/>
            <w:vAlign w:val="center"/>
          </w:tcPr>
          <w:p>
            <w:pPr>
              <w:widowControl/>
              <w:jc w:val="left"/>
              <w:rPr>
                <w:rFonts w:ascii="宋体" w:hAnsi="宋体" w:cs="宋体"/>
                <w:b/>
                <w:bCs/>
                <w:kern w:val="0"/>
                <w:szCs w:val="21"/>
              </w:rPr>
            </w:pPr>
          </w:p>
        </w:tc>
        <w:tc>
          <w:tcPr>
            <w:tcW w:w="993" w:type="dxa"/>
            <w:vMerge w:val="continue"/>
            <w:tcBorders>
              <w:left w:val="single" w:color="auto" w:sz="4" w:space="0"/>
              <w:right w:val="single" w:color="auto" w:sz="4" w:space="0"/>
            </w:tcBorders>
            <w:noWrap w:val="0"/>
            <w:vAlign w:val="center"/>
          </w:tcPr>
          <w:p>
            <w:pPr>
              <w:jc w:val="left"/>
              <w:rPr>
                <w:rFonts w:ascii="宋体" w:hAnsi="宋体" w:cs="宋体"/>
                <w:b/>
                <w:bCs/>
                <w:kern w:val="0"/>
                <w:szCs w:val="21"/>
              </w:rPr>
            </w:pPr>
          </w:p>
        </w:tc>
        <w:tc>
          <w:tcPr>
            <w:tcW w:w="1189" w:type="dxa"/>
            <w:tcBorders>
              <w:top w:val="single" w:color="auto" w:sz="4" w:space="0"/>
              <w:left w:val="single" w:color="auto" w:sz="4" w:space="0"/>
              <w:right w:val="single" w:color="auto" w:sz="4" w:space="0"/>
            </w:tcBorders>
            <w:noWrap w:val="0"/>
            <w:vAlign w:val="center"/>
          </w:tcPr>
          <w:p>
            <w:pPr>
              <w:spacing w:line="260" w:lineRule="exact"/>
              <w:jc w:val="center"/>
              <w:rPr>
                <w:rFonts w:hint="eastAsia" w:ascii="宋体" w:hAnsi="宋体" w:cs="宋体"/>
                <w:kern w:val="0"/>
                <w:szCs w:val="21"/>
              </w:rPr>
            </w:pPr>
            <w:r>
              <w:rPr>
                <w:rFonts w:hint="eastAsia" w:ascii="宋体" w:hAnsi="宋体" w:cs="宋体"/>
                <w:kern w:val="0"/>
                <w:szCs w:val="21"/>
              </w:rPr>
              <w:t>12</w:t>
            </w:r>
          </w:p>
          <w:p>
            <w:pPr>
              <w:spacing w:line="260" w:lineRule="exact"/>
              <w:jc w:val="center"/>
              <w:rPr>
                <w:rFonts w:hint="eastAsia" w:ascii="宋体" w:hAnsi="宋体" w:cs="宋体"/>
                <w:kern w:val="0"/>
                <w:szCs w:val="21"/>
              </w:rPr>
            </w:pPr>
            <w:r>
              <w:rPr>
                <w:rFonts w:hint="eastAsia" w:ascii="宋体" w:hAnsi="宋体" w:cs="楷体"/>
                <w:sz w:val="20"/>
                <w:szCs w:val="20"/>
              </w:rPr>
              <w:t>完善防踩踏安全管理工作</w:t>
            </w:r>
          </w:p>
        </w:tc>
        <w:tc>
          <w:tcPr>
            <w:tcW w:w="6290" w:type="dxa"/>
            <w:tcBorders>
              <w:top w:val="single" w:color="auto" w:sz="4" w:space="0"/>
              <w:left w:val="nil"/>
              <w:right w:val="single" w:color="auto" w:sz="4" w:space="0"/>
            </w:tcBorders>
            <w:noWrap w:val="0"/>
            <w:vAlign w:val="center"/>
          </w:tcPr>
          <w:p>
            <w:pPr>
              <w:spacing w:line="240" w:lineRule="exact"/>
              <w:rPr>
                <w:rFonts w:hint="eastAsia" w:ascii="宋体" w:hAnsi="宋体" w:cs="宋体"/>
                <w:kern w:val="0"/>
                <w:szCs w:val="21"/>
              </w:rPr>
            </w:pPr>
            <w:r>
              <w:rPr>
                <w:rFonts w:hint="eastAsia" w:ascii="宋体" w:hAnsi="宋体" w:cs="楷体"/>
                <w:sz w:val="20"/>
                <w:szCs w:val="20"/>
              </w:rPr>
              <w:t>中小学（幼儿园）要</w:t>
            </w:r>
            <w:r>
              <w:rPr>
                <w:rFonts w:hint="eastAsia" w:ascii="宋体" w:hAnsi="宋体" w:cs="仿宋_GB2312"/>
                <w:sz w:val="20"/>
                <w:szCs w:val="20"/>
              </w:rPr>
              <w:t>建立健全预防校园踩踏的各项安全管理制度、应急预案，明确具体责任人，开展防踩踏安全教育及应急演练</w:t>
            </w:r>
          </w:p>
        </w:tc>
        <w:tc>
          <w:tcPr>
            <w:tcW w:w="992" w:type="dxa"/>
            <w:tcBorders>
              <w:top w:val="single" w:color="auto" w:sz="4" w:space="0"/>
              <w:left w:val="nil"/>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全年</w:t>
            </w:r>
          </w:p>
        </w:tc>
      </w:tr>
      <w:tr>
        <w:tblPrEx>
          <w:tblCellMar>
            <w:top w:w="0" w:type="dxa"/>
            <w:left w:w="108" w:type="dxa"/>
            <w:bottom w:w="0" w:type="dxa"/>
            <w:right w:w="108" w:type="dxa"/>
          </w:tblCellMar>
        </w:tblPrEx>
        <w:trPr>
          <w:trHeight w:val="983" w:hRule="atLeast"/>
          <w:jc w:val="center"/>
        </w:trPr>
        <w:tc>
          <w:tcPr>
            <w:tcW w:w="481" w:type="dxa"/>
            <w:vMerge w:val="restart"/>
            <w:tcBorders>
              <w:top w:val="single" w:color="auto" w:sz="4" w:space="0"/>
              <w:left w:val="single" w:color="auto" w:sz="4" w:space="0"/>
              <w:right w:val="single" w:color="auto" w:sz="4" w:space="0"/>
            </w:tcBorders>
            <w:noWrap w:val="0"/>
            <w:vAlign w:val="center"/>
          </w:tcPr>
          <w:p>
            <w:pPr>
              <w:widowControl/>
              <w:jc w:val="left"/>
              <w:rPr>
                <w:rFonts w:ascii="宋体" w:hAnsi="宋体" w:cs="宋体"/>
                <w:b/>
                <w:bCs/>
                <w:kern w:val="0"/>
                <w:szCs w:val="21"/>
              </w:rPr>
            </w:pPr>
            <w:r>
              <w:rPr>
                <w:rFonts w:hint="eastAsia" w:ascii="宋体" w:hAnsi="宋体" w:cs="宋体"/>
                <w:b/>
                <w:bCs/>
                <w:kern w:val="0"/>
                <w:szCs w:val="21"/>
              </w:rPr>
              <w:t>四</w:t>
            </w:r>
          </w:p>
        </w:tc>
        <w:tc>
          <w:tcPr>
            <w:tcW w:w="993" w:type="dxa"/>
            <w:vMerge w:val="restart"/>
            <w:tcBorders>
              <w:top w:val="single" w:color="auto" w:sz="4" w:space="0"/>
              <w:left w:val="single" w:color="auto" w:sz="4" w:space="0"/>
              <w:right w:val="single" w:color="auto" w:sz="4" w:space="0"/>
            </w:tcBorders>
            <w:noWrap w:val="0"/>
            <w:vAlign w:val="center"/>
          </w:tcPr>
          <w:p>
            <w:pPr>
              <w:jc w:val="left"/>
              <w:rPr>
                <w:rFonts w:ascii="宋体" w:hAnsi="宋体" w:cs="宋体"/>
                <w:b/>
                <w:bCs/>
                <w:kern w:val="0"/>
                <w:szCs w:val="21"/>
              </w:rPr>
            </w:pPr>
            <w:r>
              <w:rPr>
                <w:rFonts w:hint="eastAsia" w:ascii="宋体" w:hAnsi="宋体"/>
                <w:szCs w:val="21"/>
              </w:rPr>
              <w:t>量化督导评价，进一步完善教育培训体系科学建设</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cs="宋体"/>
                <w:kern w:val="0"/>
                <w:szCs w:val="21"/>
              </w:rPr>
            </w:pPr>
            <w:r>
              <w:rPr>
                <w:rFonts w:hint="eastAsia" w:ascii="宋体" w:hAnsi="宋体" w:cs="宋体"/>
                <w:kern w:val="0"/>
                <w:szCs w:val="21"/>
              </w:rPr>
              <w:t>13</w:t>
            </w:r>
          </w:p>
          <w:p>
            <w:pPr>
              <w:spacing w:line="260" w:lineRule="exact"/>
              <w:jc w:val="center"/>
              <w:rPr>
                <w:rFonts w:hint="eastAsia" w:ascii="宋体" w:hAnsi="宋体" w:cs="宋体"/>
                <w:kern w:val="0"/>
                <w:szCs w:val="21"/>
              </w:rPr>
            </w:pPr>
            <w:r>
              <w:rPr>
                <w:rFonts w:hint="eastAsia" w:ascii="宋体" w:hAnsi="宋体"/>
                <w:sz w:val="20"/>
                <w:szCs w:val="20"/>
              </w:rPr>
              <w:t>筑牢安全文化建设</w:t>
            </w:r>
          </w:p>
        </w:tc>
        <w:tc>
          <w:tcPr>
            <w:tcW w:w="6290" w:type="dxa"/>
            <w:tcBorders>
              <w:top w:val="single" w:color="auto" w:sz="4" w:space="0"/>
              <w:left w:val="nil"/>
              <w:bottom w:val="single" w:color="auto" w:sz="4" w:space="0"/>
              <w:right w:val="single" w:color="auto" w:sz="4" w:space="0"/>
            </w:tcBorders>
            <w:noWrap w:val="0"/>
            <w:vAlign w:val="center"/>
          </w:tcPr>
          <w:p>
            <w:pPr>
              <w:pStyle w:val="7"/>
              <w:spacing w:line="260" w:lineRule="exact"/>
              <w:jc w:val="left"/>
              <w:rPr>
                <w:rFonts w:hint="eastAsia" w:ascii="宋体" w:hAnsi="宋体" w:cs="宋体"/>
                <w:kern w:val="0"/>
                <w:szCs w:val="21"/>
              </w:rPr>
            </w:pPr>
            <w:r>
              <w:rPr>
                <w:rFonts w:hint="eastAsia" w:ascii="宋体" w:hAnsi="宋体" w:cs="楷体"/>
                <w:bCs/>
                <w:kern w:val="0"/>
                <w:sz w:val="20"/>
                <w:szCs w:val="20"/>
              </w:rPr>
              <w:t>按照《二道区教育系统深化校园安全文化建设实施方案》相关要求，持续提升安全文化内涵，各中小学（幼儿园）要积极探索有效途径和办法，打造品牌。</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全年</w:t>
            </w:r>
          </w:p>
        </w:tc>
      </w:tr>
      <w:tr>
        <w:tblPrEx>
          <w:tblCellMar>
            <w:top w:w="0" w:type="dxa"/>
            <w:left w:w="108" w:type="dxa"/>
            <w:bottom w:w="0" w:type="dxa"/>
            <w:right w:w="108" w:type="dxa"/>
          </w:tblCellMar>
        </w:tblPrEx>
        <w:trPr>
          <w:trHeight w:val="1125" w:hRule="atLeast"/>
          <w:jc w:val="center"/>
        </w:trPr>
        <w:tc>
          <w:tcPr>
            <w:tcW w:w="481" w:type="dxa"/>
            <w:vMerge w:val="continue"/>
            <w:tcBorders>
              <w:top w:val="single" w:color="auto" w:sz="4" w:space="0"/>
              <w:left w:val="single" w:color="auto" w:sz="4" w:space="0"/>
              <w:right w:val="single" w:color="auto" w:sz="4" w:space="0"/>
            </w:tcBorders>
            <w:noWrap w:val="0"/>
            <w:vAlign w:val="center"/>
          </w:tcPr>
          <w:p>
            <w:pPr>
              <w:widowControl/>
              <w:jc w:val="left"/>
              <w:rPr>
                <w:rFonts w:ascii="宋体" w:hAnsi="宋体" w:cs="宋体"/>
                <w:b/>
                <w:bCs/>
                <w:kern w:val="0"/>
                <w:szCs w:val="21"/>
              </w:rPr>
            </w:pPr>
          </w:p>
        </w:tc>
        <w:tc>
          <w:tcPr>
            <w:tcW w:w="993" w:type="dxa"/>
            <w:vMerge w:val="continue"/>
            <w:tcBorders>
              <w:top w:val="single" w:color="auto" w:sz="4" w:space="0"/>
              <w:left w:val="single" w:color="auto" w:sz="4" w:space="0"/>
              <w:right w:val="single" w:color="auto" w:sz="4" w:space="0"/>
            </w:tcBorders>
            <w:noWrap w:val="0"/>
            <w:vAlign w:val="center"/>
          </w:tcPr>
          <w:p>
            <w:pPr>
              <w:jc w:val="left"/>
              <w:rPr>
                <w:rFonts w:ascii="宋体" w:hAnsi="宋体" w:cs="宋体"/>
                <w:b/>
                <w:bCs/>
                <w:kern w:val="0"/>
                <w:szCs w:val="21"/>
              </w:rPr>
            </w:pPr>
          </w:p>
        </w:tc>
        <w:tc>
          <w:tcPr>
            <w:tcW w:w="1189" w:type="dxa"/>
            <w:vMerge w:val="restart"/>
            <w:tcBorders>
              <w:top w:val="single" w:color="auto" w:sz="4" w:space="0"/>
              <w:left w:val="single" w:color="auto" w:sz="4" w:space="0"/>
              <w:right w:val="single" w:color="auto" w:sz="4" w:space="0"/>
            </w:tcBorders>
            <w:noWrap w:val="0"/>
            <w:vAlign w:val="center"/>
          </w:tcPr>
          <w:p>
            <w:pPr>
              <w:spacing w:line="260" w:lineRule="exact"/>
              <w:jc w:val="center"/>
              <w:rPr>
                <w:rFonts w:hint="eastAsia" w:ascii="宋体" w:hAnsi="宋体" w:cs="宋体"/>
                <w:kern w:val="0"/>
                <w:szCs w:val="21"/>
              </w:rPr>
            </w:pPr>
            <w:r>
              <w:rPr>
                <w:rFonts w:hint="eastAsia" w:ascii="宋体" w:hAnsi="宋体" w:cs="宋体"/>
                <w:kern w:val="0"/>
                <w:szCs w:val="21"/>
              </w:rPr>
              <w:t>14</w:t>
            </w:r>
          </w:p>
          <w:p>
            <w:pPr>
              <w:spacing w:line="260" w:lineRule="exact"/>
              <w:jc w:val="center"/>
              <w:rPr>
                <w:rFonts w:hint="eastAsia" w:ascii="宋体" w:hAnsi="宋体" w:cs="宋体"/>
                <w:kern w:val="0"/>
                <w:szCs w:val="21"/>
              </w:rPr>
            </w:pPr>
            <w:r>
              <w:rPr>
                <w:rFonts w:hint="eastAsia" w:ascii="宋体" w:hAnsi="宋体" w:cs="楷体"/>
                <w:bCs/>
                <w:kern w:val="0"/>
                <w:sz w:val="20"/>
                <w:szCs w:val="20"/>
              </w:rPr>
              <w:t>提升安全课程建设</w:t>
            </w:r>
          </w:p>
        </w:tc>
        <w:tc>
          <w:tcPr>
            <w:tcW w:w="6290" w:type="dxa"/>
            <w:tcBorders>
              <w:top w:val="single" w:color="auto" w:sz="4" w:space="0"/>
              <w:left w:val="nil"/>
              <w:bottom w:val="single" w:color="auto" w:sz="4" w:space="0"/>
              <w:right w:val="single" w:color="auto" w:sz="4" w:space="0"/>
            </w:tcBorders>
            <w:noWrap w:val="0"/>
            <w:vAlign w:val="center"/>
          </w:tcPr>
          <w:p>
            <w:pPr>
              <w:spacing w:line="240" w:lineRule="exact"/>
              <w:rPr>
                <w:rFonts w:hint="eastAsia" w:ascii="宋体" w:hAnsi="宋体" w:cs="楷体"/>
                <w:bCs/>
                <w:kern w:val="0"/>
                <w:sz w:val="20"/>
                <w:szCs w:val="20"/>
              </w:rPr>
            </w:pPr>
            <w:r>
              <w:rPr>
                <w:rFonts w:hint="eastAsia" w:ascii="宋体" w:hAnsi="宋体"/>
                <w:sz w:val="20"/>
                <w:szCs w:val="20"/>
              </w:rPr>
              <w:t>依托“生命与安全教育”应用系统、“生命与安全”学科教室的使用，</w:t>
            </w:r>
            <w:r>
              <w:rPr>
                <w:rFonts w:hint="eastAsia" w:ascii="宋体" w:hAnsi="宋体" w:cs="仿宋_GB2312"/>
                <w:kern w:val="0"/>
                <w:sz w:val="20"/>
                <w:szCs w:val="20"/>
              </w:rPr>
              <w:t>加强课程文化建设，</w:t>
            </w:r>
            <w:r>
              <w:rPr>
                <w:rFonts w:hint="eastAsia" w:ascii="宋体" w:hAnsi="宋体" w:cs="仿宋_GB2312"/>
                <w:sz w:val="20"/>
                <w:szCs w:val="20"/>
              </w:rPr>
              <w:t>与教科研有机结合，</w:t>
            </w:r>
            <w:r>
              <w:rPr>
                <w:rFonts w:hint="eastAsia" w:ascii="宋体" w:hAnsi="宋体" w:cs="仿宋_GB2312"/>
                <w:kern w:val="0"/>
                <w:sz w:val="20"/>
                <w:szCs w:val="20"/>
              </w:rPr>
              <w:t>将生命与安全课程纳入学校课时计划，每两周1课时。</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全年</w:t>
            </w:r>
          </w:p>
        </w:tc>
      </w:tr>
      <w:tr>
        <w:tblPrEx>
          <w:tblCellMar>
            <w:top w:w="0" w:type="dxa"/>
            <w:left w:w="108" w:type="dxa"/>
            <w:bottom w:w="0" w:type="dxa"/>
            <w:right w:w="108" w:type="dxa"/>
          </w:tblCellMar>
        </w:tblPrEx>
        <w:trPr>
          <w:trHeight w:val="842" w:hRule="atLeast"/>
          <w:jc w:val="center"/>
        </w:trPr>
        <w:tc>
          <w:tcPr>
            <w:tcW w:w="481" w:type="dxa"/>
            <w:vMerge w:val="continue"/>
            <w:tcBorders>
              <w:top w:val="single" w:color="auto" w:sz="4" w:space="0"/>
              <w:left w:val="single" w:color="auto" w:sz="4" w:space="0"/>
              <w:right w:val="single" w:color="auto" w:sz="4" w:space="0"/>
            </w:tcBorders>
            <w:noWrap w:val="0"/>
            <w:vAlign w:val="center"/>
          </w:tcPr>
          <w:p>
            <w:pPr>
              <w:widowControl/>
              <w:jc w:val="left"/>
              <w:rPr>
                <w:rFonts w:ascii="宋体" w:hAnsi="宋体" w:cs="宋体"/>
                <w:b/>
                <w:bCs/>
                <w:kern w:val="0"/>
                <w:szCs w:val="21"/>
              </w:rPr>
            </w:pPr>
          </w:p>
        </w:tc>
        <w:tc>
          <w:tcPr>
            <w:tcW w:w="993" w:type="dxa"/>
            <w:vMerge w:val="continue"/>
            <w:tcBorders>
              <w:top w:val="single" w:color="auto" w:sz="4" w:space="0"/>
              <w:left w:val="single" w:color="auto" w:sz="4" w:space="0"/>
              <w:right w:val="single" w:color="auto" w:sz="4" w:space="0"/>
            </w:tcBorders>
            <w:noWrap w:val="0"/>
            <w:vAlign w:val="center"/>
          </w:tcPr>
          <w:p>
            <w:pPr>
              <w:jc w:val="left"/>
              <w:rPr>
                <w:rFonts w:ascii="宋体" w:hAnsi="宋体" w:cs="宋体"/>
                <w:b/>
                <w:bCs/>
                <w:kern w:val="0"/>
                <w:szCs w:val="21"/>
              </w:rPr>
            </w:pPr>
          </w:p>
        </w:tc>
        <w:tc>
          <w:tcPr>
            <w:tcW w:w="1189" w:type="dxa"/>
            <w:vMerge w:val="continue"/>
            <w:tcBorders>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cs="宋体"/>
                <w:kern w:val="0"/>
                <w:szCs w:val="21"/>
              </w:rPr>
            </w:pPr>
          </w:p>
        </w:tc>
        <w:tc>
          <w:tcPr>
            <w:tcW w:w="6290" w:type="dxa"/>
            <w:tcBorders>
              <w:top w:val="single" w:color="auto" w:sz="4" w:space="0"/>
              <w:left w:val="nil"/>
              <w:bottom w:val="single" w:color="auto" w:sz="4" w:space="0"/>
              <w:right w:val="single" w:color="auto" w:sz="4" w:space="0"/>
            </w:tcBorders>
            <w:noWrap w:val="0"/>
            <w:vAlign w:val="center"/>
          </w:tcPr>
          <w:p>
            <w:pPr>
              <w:spacing w:line="240" w:lineRule="exact"/>
              <w:rPr>
                <w:rFonts w:hint="eastAsia" w:ascii="宋体" w:hAnsi="宋体" w:cs="仿宋_GB2312"/>
                <w:kern w:val="0"/>
                <w:sz w:val="20"/>
                <w:szCs w:val="20"/>
              </w:rPr>
            </w:pPr>
            <w:r>
              <w:rPr>
                <w:rFonts w:hint="eastAsia" w:ascii="宋体" w:hAnsi="宋体" w:cs="楷体"/>
                <w:bCs/>
                <w:kern w:val="0"/>
                <w:sz w:val="20"/>
                <w:szCs w:val="20"/>
              </w:rPr>
              <w:t>根据《二道区中小学生安全教育体验中心2020年体验时间安排表》，组织学生到</w:t>
            </w:r>
            <w:r>
              <w:rPr>
                <w:rFonts w:hint="eastAsia" w:ascii="宋体" w:hAnsi="宋体"/>
                <w:sz w:val="20"/>
                <w:szCs w:val="20"/>
              </w:rPr>
              <w:t>“中小学生安全教育体验中心”进行体验。</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全年</w:t>
            </w:r>
          </w:p>
        </w:tc>
      </w:tr>
      <w:tr>
        <w:tblPrEx>
          <w:tblCellMar>
            <w:top w:w="0" w:type="dxa"/>
            <w:left w:w="108" w:type="dxa"/>
            <w:bottom w:w="0" w:type="dxa"/>
            <w:right w:w="108" w:type="dxa"/>
          </w:tblCellMar>
        </w:tblPrEx>
        <w:trPr>
          <w:trHeight w:val="1256" w:hRule="atLeast"/>
          <w:jc w:val="center"/>
        </w:trPr>
        <w:tc>
          <w:tcPr>
            <w:tcW w:w="481" w:type="dxa"/>
            <w:vMerge w:val="continue"/>
            <w:tcBorders>
              <w:left w:val="single" w:color="auto" w:sz="4" w:space="0"/>
              <w:right w:val="single" w:color="auto" w:sz="4" w:space="0"/>
            </w:tcBorders>
            <w:noWrap w:val="0"/>
            <w:vAlign w:val="center"/>
          </w:tcPr>
          <w:p>
            <w:pPr>
              <w:widowControl/>
              <w:jc w:val="left"/>
              <w:rPr>
                <w:rFonts w:ascii="宋体" w:hAnsi="宋体" w:cs="宋体"/>
                <w:b/>
                <w:bCs/>
                <w:kern w:val="0"/>
                <w:szCs w:val="21"/>
              </w:rPr>
            </w:pPr>
          </w:p>
        </w:tc>
        <w:tc>
          <w:tcPr>
            <w:tcW w:w="993" w:type="dxa"/>
            <w:vMerge w:val="continue"/>
            <w:tcBorders>
              <w:left w:val="single" w:color="auto" w:sz="4" w:space="0"/>
              <w:right w:val="single" w:color="auto" w:sz="4" w:space="0"/>
            </w:tcBorders>
            <w:noWrap w:val="0"/>
            <w:vAlign w:val="center"/>
          </w:tcPr>
          <w:p>
            <w:pPr>
              <w:jc w:val="left"/>
              <w:rPr>
                <w:rFonts w:ascii="宋体" w:hAnsi="宋体" w:cs="宋体"/>
                <w:b/>
                <w:bCs/>
                <w:kern w:val="0"/>
                <w:szCs w:val="21"/>
              </w:rPr>
            </w:pPr>
          </w:p>
        </w:tc>
        <w:tc>
          <w:tcPr>
            <w:tcW w:w="1189" w:type="dxa"/>
            <w:vMerge w:val="restart"/>
            <w:tcBorders>
              <w:top w:val="single" w:color="auto" w:sz="4" w:space="0"/>
              <w:left w:val="single" w:color="auto" w:sz="4" w:space="0"/>
              <w:right w:val="single" w:color="auto" w:sz="4" w:space="0"/>
            </w:tcBorders>
            <w:noWrap w:val="0"/>
            <w:vAlign w:val="center"/>
          </w:tcPr>
          <w:p>
            <w:pPr>
              <w:spacing w:line="260" w:lineRule="exact"/>
              <w:jc w:val="center"/>
              <w:rPr>
                <w:rFonts w:hint="eastAsia" w:ascii="宋体" w:hAnsi="宋体" w:cs="宋体"/>
                <w:kern w:val="0"/>
                <w:szCs w:val="21"/>
              </w:rPr>
            </w:pPr>
            <w:r>
              <w:rPr>
                <w:rFonts w:hint="eastAsia" w:ascii="宋体" w:hAnsi="宋体" w:cs="宋体"/>
                <w:kern w:val="0"/>
                <w:szCs w:val="21"/>
              </w:rPr>
              <w:t>15</w:t>
            </w:r>
          </w:p>
          <w:p>
            <w:pPr>
              <w:spacing w:line="260" w:lineRule="exact"/>
              <w:jc w:val="center"/>
              <w:rPr>
                <w:rFonts w:hint="eastAsia" w:ascii="宋体" w:hAnsi="宋体" w:cs="宋体"/>
                <w:kern w:val="0"/>
                <w:szCs w:val="21"/>
              </w:rPr>
            </w:pPr>
            <w:r>
              <w:rPr>
                <w:rFonts w:hint="eastAsia" w:ascii="宋体" w:hAnsi="宋体" w:cs="仿宋_GB2312"/>
                <w:sz w:val="20"/>
                <w:szCs w:val="20"/>
              </w:rPr>
              <w:t>开展安全教育活动</w:t>
            </w:r>
          </w:p>
        </w:tc>
        <w:tc>
          <w:tcPr>
            <w:tcW w:w="6290" w:type="dxa"/>
            <w:tcBorders>
              <w:top w:val="single" w:color="auto" w:sz="4" w:space="0"/>
              <w:left w:val="nil"/>
              <w:bottom w:val="single" w:color="auto" w:sz="4" w:space="0"/>
              <w:right w:val="single" w:color="auto" w:sz="4" w:space="0"/>
            </w:tcBorders>
            <w:noWrap w:val="0"/>
            <w:vAlign w:val="center"/>
          </w:tcPr>
          <w:p>
            <w:pPr>
              <w:widowControl/>
              <w:shd w:val="clear" w:color="auto" w:fill="FFFFFF"/>
              <w:spacing w:line="240" w:lineRule="exact"/>
              <w:rPr>
                <w:rFonts w:hint="eastAsia" w:ascii="宋体" w:hAnsi="宋体" w:cs="宋体"/>
                <w:kern w:val="0"/>
                <w:szCs w:val="21"/>
              </w:rPr>
            </w:pPr>
            <w:r>
              <w:rPr>
                <w:rFonts w:hint="eastAsia" w:ascii="宋体" w:hAnsi="宋体" w:cs="仿宋_GB2312"/>
                <w:sz w:val="20"/>
                <w:szCs w:val="20"/>
              </w:rPr>
              <w:t>各中小学（幼儿园）要充分利用班团队会、板报、橱窗及新媒体等媒介，进行安全宣传教育，利用安全教育日、防灾减灾日等各类安全教育活动，</w:t>
            </w:r>
            <w:r>
              <w:rPr>
                <w:rFonts w:hint="eastAsia" w:ascii="宋体" w:hAnsi="宋体" w:cs="Tahoma"/>
                <w:kern w:val="0"/>
                <w:sz w:val="20"/>
                <w:szCs w:val="20"/>
              </w:rPr>
              <w:t>通过家访、家长会和致家长一封信等形式，加强学校与家长的联系，共同做好学生安全教育工作，预防学生安全事故的发生；</w:t>
            </w:r>
          </w:p>
        </w:tc>
        <w:tc>
          <w:tcPr>
            <w:tcW w:w="992" w:type="dxa"/>
            <w:vMerge w:val="restart"/>
            <w:tcBorders>
              <w:top w:val="single" w:color="auto" w:sz="4" w:space="0"/>
              <w:left w:val="nil"/>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全年</w:t>
            </w:r>
          </w:p>
        </w:tc>
      </w:tr>
      <w:tr>
        <w:tblPrEx>
          <w:tblCellMar>
            <w:top w:w="0" w:type="dxa"/>
            <w:left w:w="108" w:type="dxa"/>
            <w:bottom w:w="0" w:type="dxa"/>
            <w:right w:w="108" w:type="dxa"/>
          </w:tblCellMar>
        </w:tblPrEx>
        <w:trPr>
          <w:trHeight w:val="418" w:hRule="atLeast"/>
          <w:jc w:val="center"/>
        </w:trPr>
        <w:tc>
          <w:tcPr>
            <w:tcW w:w="481" w:type="dxa"/>
            <w:vMerge w:val="continue"/>
            <w:tcBorders>
              <w:left w:val="single" w:color="auto" w:sz="4" w:space="0"/>
              <w:right w:val="single" w:color="auto" w:sz="4" w:space="0"/>
            </w:tcBorders>
            <w:noWrap w:val="0"/>
            <w:vAlign w:val="center"/>
          </w:tcPr>
          <w:p>
            <w:pPr>
              <w:widowControl/>
              <w:jc w:val="left"/>
              <w:rPr>
                <w:rFonts w:ascii="宋体" w:hAnsi="宋体" w:cs="宋体"/>
                <w:b/>
                <w:bCs/>
                <w:kern w:val="0"/>
                <w:szCs w:val="21"/>
              </w:rPr>
            </w:pPr>
          </w:p>
        </w:tc>
        <w:tc>
          <w:tcPr>
            <w:tcW w:w="993" w:type="dxa"/>
            <w:vMerge w:val="continue"/>
            <w:tcBorders>
              <w:left w:val="single" w:color="auto" w:sz="4" w:space="0"/>
              <w:right w:val="single" w:color="auto" w:sz="4" w:space="0"/>
            </w:tcBorders>
            <w:noWrap w:val="0"/>
            <w:vAlign w:val="center"/>
          </w:tcPr>
          <w:p>
            <w:pPr>
              <w:jc w:val="left"/>
              <w:rPr>
                <w:rFonts w:ascii="宋体" w:hAnsi="宋体" w:cs="宋体"/>
                <w:b/>
                <w:bCs/>
                <w:kern w:val="0"/>
                <w:szCs w:val="21"/>
              </w:rPr>
            </w:pPr>
          </w:p>
        </w:tc>
        <w:tc>
          <w:tcPr>
            <w:tcW w:w="1189" w:type="dxa"/>
            <w:vMerge w:val="continue"/>
            <w:tcBorders>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cs="宋体"/>
                <w:kern w:val="0"/>
                <w:szCs w:val="21"/>
              </w:rPr>
            </w:pPr>
          </w:p>
        </w:tc>
        <w:tc>
          <w:tcPr>
            <w:tcW w:w="6290" w:type="dxa"/>
            <w:tcBorders>
              <w:top w:val="single" w:color="auto" w:sz="4" w:space="0"/>
              <w:left w:val="nil"/>
              <w:bottom w:val="single" w:color="auto" w:sz="4" w:space="0"/>
              <w:right w:val="single" w:color="auto" w:sz="4" w:space="0"/>
            </w:tcBorders>
            <w:noWrap w:val="0"/>
            <w:vAlign w:val="center"/>
          </w:tcPr>
          <w:p>
            <w:pPr>
              <w:shd w:val="clear" w:color="auto" w:fill="FFFFFF"/>
              <w:spacing w:line="240" w:lineRule="exact"/>
              <w:rPr>
                <w:rFonts w:hint="eastAsia" w:ascii="宋体" w:hAnsi="宋体" w:cs="仿宋_GB2312"/>
                <w:sz w:val="20"/>
                <w:szCs w:val="20"/>
              </w:rPr>
            </w:pPr>
            <w:r>
              <w:rPr>
                <w:rFonts w:hint="eastAsia" w:ascii="宋体" w:hAnsi="宋体" w:cs="仿宋_GB2312"/>
                <w:sz w:val="20"/>
                <w:szCs w:val="20"/>
              </w:rPr>
              <w:t>校园重点部位张挂安全标语、疏散指示图、提示语及警示标志等</w:t>
            </w:r>
          </w:p>
        </w:tc>
        <w:tc>
          <w:tcPr>
            <w:tcW w:w="992" w:type="dxa"/>
            <w:vMerge w:val="continue"/>
            <w:tcBorders>
              <w:left w:val="nil"/>
              <w:bottom w:val="single" w:color="auto" w:sz="4" w:space="0"/>
              <w:right w:val="single" w:color="auto" w:sz="4" w:space="0"/>
            </w:tcBorders>
            <w:noWrap w:val="0"/>
            <w:vAlign w:val="center"/>
          </w:tcPr>
          <w:p>
            <w:pPr>
              <w:jc w:val="center"/>
              <w:rPr>
                <w:rFonts w:hint="eastAsia" w:ascii="宋体" w:hAnsi="宋体" w:cs="宋体"/>
                <w:kern w:val="0"/>
                <w:szCs w:val="21"/>
              </w:rPr>
            </w:pPr>
          </w:p>
        </w:tc>
      </w:tr>
      <w:tr>
        <w:tblPrEx>
          <w:tblCellMar>
            <w:top w:w="0" w:type="dxa"/>
            <w:left w:w="108" w:type="dxa"/>
            <w:bottom w:w="0" w:type="dxa"/>
            <w:right w:w="108" w:type="dxa"/>
          </w:tblCellMar>
        </w:tblPrEx>
        <w:trPr>
          <w:trHeight w:val="708" w:hRule="atLeast"/>
          <w:jc w:val="center"/>
        </w:trPr>
        <w:tc>
          <w:tcPr>
            <w:tcW w:w="481" w:type="dxa"/>
            <w:vMerge w:val="continue"/>
            <w:tcBorders>
              <w:left w:val="single" w:color="auto" w:sz="4" w:space="0"/>
              <w:right w:val="single" w:color="auto" w:sz="4" w:space="0"/>
            </w:tcBorders>
            <w:noWrap w:val="0"/>
            <w:vAlign w:val="center"/>
          </w:tcPr>
          <w:p>
            <w:pPr>
              <w:widowControl/>
              <w:jc w:val="left"/>
              <w:rPr>
                <w:rFonts w:ascii="宋体" w:hAnsi="宋体" w:cs="宋体"/>
                <w:b/>
                <w:bCs/>
                <w:kern w:val="0"/>
                <w:szCs w:val="21"/>
              </w:rPr>
            </w:pPr>
          </w:p>
        </w:tc>
        <w:tc>
          <w:tcPr>
            <w:tcW w:w="993" w:type="dxa"/>
            <w:vMerge w:val="continue"/>
            <w:tcBorders>
              <w:left w:val="single" w:color="auto" w:sz="4" w:space="0"/>
              <w:right w:val="single" w:color="auto" w:sz="4" w:space="0"/>
            </w:tcBorders>
            <w:noWrap w:val="0"/>
            <w:vAlign w:val="center"/>
          </w:tcPr>
          <w:p>
            <w:pPr>
              <w:jc w:val="left"/>
              <w:rPr>
                <w:rFonts w:ascii="宋体" w:hAnsi="宋体" w:cs="宋体"/>
                <w:b/>
                <w:bCs/>
                <w:kern w:val="0"/>
                <w:szCs w:val="21"/>
              </w:rPr>
            </w:pPr>
          </w:p>
        </w:tc>
        <w:tc>
          <w:tcPr>
            <w:tcW w:w="1189" w:type="dxa"/>
            <w:vMerge w:val="restart"/>
            <w:tcBorders>
              <w:top w:val="single" w:color="auto" w:sz="4" w:space="0"/>
              <w:left w:val="single" w:color="auto" w:sz="4" w:space="0"/>
              <w:right w:val="single" w:color="auto" w:sz="4" w:space="0"/>
            </w:tcBorders>
            <w:noWrap w:val="0"/>
            <w:vAlign w:val="center"/>
          </w:tcPr>
          <w:p>
            <w:pPr>
              <w:spacing w:line="260" w:lineRule="exact"/>
              <w:jc w:val="center"/>
              <w:rPr>
                <w:rFonts w:hint="eastAsia" w:ascii="宋体" w:hAnsi="宋体" w:cs="宋体"/>
                <w:kern w:val="0"/>
                <w:szCs w:val="21"/>
              </w:rPr>
            </w:pPr>
            <w:r>
              <w:rPr>
                <w:rFonts w:hint="eastAsia" w:ascii="宋体" w:hAnsi="宋体" w:cs="宋体"/>
                <w:kern w:val="0"/>
                <w:szCs w:val="21"/>
              </w:rPr>
              <w:t>16</w:t>
            </w:r>
          </w:p>
          <w:p>
            <w:pPr>
              <w:spacing w:line="260" w:lineRule="exact"/>
              <w:jc w:val="center"/>
              <w:rPr>
                <w:rFonts w:hint="eastAsia" w:ascii="宋体" w:hAnsi="宋体" w:cs="宋体"/>
                <w:kern w:val="0"/>
                <w:szCs w:val="21"/>
              </w:rPr>
            </w:pPr>
            <w:r>
              <w:rPr>
                <w:rFonts w:hint="eastAsia" w:ascii="宋体" w:hAnsi="宋体" w:cs="仿宋_GB2312"/>
                <w:sz w:val="20"/>
                <w:szCs w:val="20"/>
              </w:rPr>
              <w:t>抓好安全素质培训</w:t>
            </w:r>
          </w:p>
        </w:tc>
        <w:tc>
          <w:tcPr>
            <w:tcW w:w="6290" w:type="dxa"/>
            <w:tcBorders>
              <w:top w:val="single" w:color="auto" w:sz="4" w:space="0"/>
              <w:left w:val="nil"/>
              <w:bottom w:val="single" w:color="auto" w:sz="4" w:space="0"/>
              <w:right w:val="single" w:color="auto" w:sz="4" w:space="0"/>
            </w:tcBorders>
            <w:noWrap w:val="0"/>
            <w:vAlign w:val="center"/>
          </w:tcPr>
          <w:p>
            <w:pPr>
              <w:spacing w:line="240" w:lineRule="exact"/>
              <w:rPr>
                <w:rFonts w:hint="eastAsia" w:ascii="宋体" w:hAnsi="宋体" w:cs="宋体"/>
                <w:kern w:val="0"/>
                <w:szCs w:val="21"/>
              </w:rPr>
            </w:pPr>
            <w:r>
              <w:rPr>
                <w:rFonts w:hint="eastAsia" w:ascii="宋体" w:hAnsi="宋体" w:cs="仿宋_GB2312"/>
                <w:sz w:val="20"/>
                <w:szCs w:val="20"/>
              </w:rPr>
              <w:t>开展安全管理干部队伍、专职保安员队伍和校车司机及照管员等各级安全工作相关从业人员专业能力培训；</w:t>
            </w:r>
          </w:p>
        </w:tc>
        <w:tc>
          <w:tcPr>
            <w:tcW w:w="992" w:type="dxa"/>
            <w:vMerge w:val="restart"/>
            <w:tcBorders>
              <w:top w:val="single" w:color="auto" w:sz="4" w:space="0"/>
              <w:left w:val="nil"/>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全年</w:t>
            </w:r>
          </w:p>
        </w:tc>
      </w:tr>
      <w:tr>
        <w:tblPrEx>
          <w:tblCellMar>
            <w:top w:w="0" w:type="dxa"/>
            <w:left w:w="108" w:type="dxa"/>
            <w:bottom w:w="0" w:type="dxa"/>
            <w:right w:w="108" w:type="dxa"/>
          </w:tblCellMar>
        </w:tblPrEx>
        <w:trPr>
          <w:trHeight w:val="406" w:hRule="atLeast"/>
          <w:jc w:val="center"/>
        </w:trPr>
        <w:tc>
          <w:tcPr>
            <w:tcW w:w="481" w:type="dxa"/>
            <w:vMerge w:val="continue"/>
            <w:tcBorders>
              <w:left w:val="single" w:color="auto" w:sz="4" w:space="0"/>
              <w:right w:val="single" w:color="auto" w:sz="4" w:space="0"/>
            </w:tcBorders>
            <w:noWrap w:val="0"/>
            <w:vAlign w:val="center"/>
          </w:tcPr>
          <w:p>
            <w:pPr>
              <w:widowControl/>
              <w:jc w:val="left"/>
              <w:rPr>
                <w:rFonts w:ascii="宋体" w:hAnsi="宋体" w:cs="宋体"/>
                <w:b/>
                <w:bCs/>
                <w:kern w:val="0"/>
                <w:szCs w:val="21"/>
              </w:rPr>
            </w:pPr>
          </w:p>
        </w:tc>
        <w:tc>
          <w:tcPr>
            <w:tcW w:w="993" w:type="dxa"/>
            <w:vMerge w:val="continue"/>
            <w:tcBorders>
              <w:left w:val="single" w:color="auto" w:sz="4" w:space="0"/>
              <w:right w:val="single" w:color="auto" w:sz="4" w:space="0"/>
            </w:tcBorders>
            <w:noWrap w:val="0"/>
            <w:vAlign w:val="center"/>
          </w:tcPr>
          <w:p>
            <w:pPr>
              <w:jc w:val="left"/>
              <w:rPr>
                <w:rFonts w:ascii="宋体" w:hAnsi="宋体" w:cs="宋体"/>
                <w:b/>
                <w:bCs/>
                <w:kern w:val="0"/>
                <w:szCs w:val="21"/>
              </w:rPr>
            </w:pPr>
          </w:p>
        </w:tc>
        <w:tc>
          <w:tcPr>
            <w:tcW w:w="1189" w:type="dxa"/>
            <w:vMerge w:val="continue"/>
            <w:tcBorders>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cs="宋体"/>
                <w:kern w:val="0"/>
                <w:szCs w:val="21"/>
              </w:rPr>
            </w:pPr>
          </w:p>
        </w:tc>
        <w:tc>
          <w:tcPr>
            <w:tcW w:w="6290" w:type="dxa"/>
            <w:tcBorders>
              <w:top w:val="single" w:color="auto" w:sz="4" w:space="0"/>
              <w:left w:val="nil"/>
              <w:bottom w:val="single" w:color="auto" w:sz="4" w:space="0"/>
              <w:right w:val="single" w:color="auto" w:sz="4" w:space="0"/>
            </w:tcBorders>
            <w:noWrap w:val="0"/>
            <w:vAlign w:val="center"/>
          </w:tcPr>
          <w:p>
            <w:pPr>
              <w:spacing w:line="240" w:lineRule="exact"/>
              <w:rPr>
                <w:rFonts w:hint="eastAsia" w:ascii="宋体" w:hAnsi="宋体" w:cs="仿宋_GB2312"/>
                <w:sz w:val="20"/>
                <w:szCs w:val="20"/>
              </w:rPr>
            </w:pPr>
            <w:r>
              <w:rPr>
                <w:rFonts w:hint="eastAsia" w:ascii="宋体" w:hAnsi="宋体" w:cs="仿宋_GB2312"/>
                <w:sz w:val="20"/>
                <w:szCs w:val="20"/>
              </w:rPr>
              <w:t>积极组织参加生命与安全教育骨干教师业务培训</w:t>
            </w:r>
          </w:p>
        </w:tc>
        <w:tc>
          <w:tcPr>
            <w:tcW w:w="992" w:type="dxa"/>
            <w:vMerge w:val="continue"/>
            <w:tcBorders>
              <w:left w:val="nil"/>
              <w:bottom w:val="single" w:color="auto" w:sz="4" w:space="0"/>
              <w:right w:val="single" w:color="auto" w:sz="4" w:space="0"/>
            </w:tcBorders>
            <w:noWrap w:val="0"/>
            <w:vAlign w:val="center"/>
          </w:tcPr>
          <w:p>
            <w:pPr>
              <w:jc w:val="center"/>
              <w:rPr>
                <w:rFonts w:hint="eastAsia" w:ascii="宋体" w:hAnsi="宋体" w:cs="宋体"/>
                <w:kern w:val="0"/>
                <w:szCs w:val="21"/>
              </w:rPr>
            </w:pPr>
          </w:p>
        </w:tc>
      </w:tr>
      <w:tr>
        <w:tblPrEx>
          <w:tblCellMar>
            <w:top w:w="0" w:type="dxa"/>
            <w:left w:w="108" w:type="dxa"/>
            <w:bottom w:w="0" w:type="dxa"/>
            <w:right w:w="108" w:type="dxa"/>
          </w:tblCellMar>
        </w:tblPrEx>
        <w:trPr>
          <w:trHeight w:val="1121" w:hRule="atLeast"/>
          <w:jc w:val="center"/>
        </w:trPr>
        <w:tc>
          <w:tcPr>
            <w:tcW w:w="481"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Cs w:val="21"/>
              </w:rPr>
            </w:pPr>
          </w:p>
        </w:tc>
        <w:tc>
          <w:tcPr>
            <w:tcW w:w="993" w:type="dxa"/>
            <w:vMerge w:val="continue"/>
            <w:tcBorders>
              <w:left w:val="single" w:color="auto" w:sz="4" w:space="0"/>
              <w:bottom w:val="single" w:color="auto" w:sz="4" w:space="0"/>
              <w:right w:val="single" w:color="auto" w:sz="4" w:space="0"/>
            </w:tcBorders>
            <w:noWrap w:val="0"/>
            <w:vAlign w:val="center"/>
          </w:tcPr>
          <w:p>
            <w:pPr>
              <w:jc w:val="left"/>
              <w:rPr>
                <w:rFonts w:ascii="宋体" w:hAnsi="宋体" w:cs="宋体"/>
                <w:b/>
                <w:bCs/>
                <w:kern w:val="0"/>
                <w:szCs w:val="21"/>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cs="宋体"/>
                <w:kern w:val="0"/>
                <w:szCs w:val="21"/>
              </w:rPr>
            </w:pPr>
            <w:r>
              <w:rPr>
                <w:rFonts w:hint="eastAsia" w:ascii="宋体" w:hAnsi="宋体" w:cs="宋体"/>
                <w:kern w:val="0"/>
                <w:szCs w:val="21"/>
              </w:rPr>
              <w:t>17</w:t>
            </w:r>
          </w:p>
          <w:p>
            <w:pPr>
              <w:spacing w:line="260" w:lineRule="exact"/>
              <w:jc w:val="center"/>
              <w:rPr>
                <w:rFonts w:hint="eastAsia" w:ascii="宋体" w:hAnsi="宋体" w:cs="宋体"/>
                <w:kern w:val="0"/>
                <w:szCs w:val="21"/>
              </w:rPr>
            </w:pPr>
            <w:r>
              <w:rPr>
                <w:rFonts w:hint="eastAsia" w:ascii="宋体" w:hAnsi="宋体"/>
                <w:sz w:val="20"/>
                <w:szCs w:val="20"/>
              </w:rPr>
              <w:t>强化安全目标考核</w:t>
            </w:r>
          </w:p>
        </w:tc>
        <w:tc>
          <w:tcPr>
            <w:tcW w:w="629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宋体" w:hAnsi="宋体" w:cs="宋体"/>
                <w:kern w:val="0"/>
                <w:szCs w:val="21"/>
              </w:rPr>
            </w:pPr>
            <w:r>
              <w:rPr>
                <w:rFonts w:hint="eastAsia" w:ascii="宋体" w:hAnsi="宋体" w:cs="宋体"/>
                <w:kern w:val="0"/>
                <w:sz w:val="20"/>
                <w:szCs w:val="20"/>
              </w:rPr>
              <w:t>根据《二道区2020年“平安校园”建设工作目标考核评价标准》，</w:t>
            </w:r>
            <w:r>
              <w:rPr>
                <w:rFonts w:hint="eastAsia" w:ascii="宋体" w:hAnsi="宋体" w:cs="仿宋_GB2312"/>
                <w:sz w:val="20"/>
                <w:szCs w:val="20"/>
              </w:rPr>
              <w:t>构建校园</w:t>
            </w:r>
            <w:r>
              <w:rPr>
                <w:rFonts w:hint="eastAsia" w:ascii="宋体" w:hAnsi="宋体" w:cs="Tahoma"/>
                <w:kern w:val="0"/>
                <w:sz w:val="20"/>
                <w:szCs w:val="20"/>
              </w:rPr>
              <w:t>安全工作自动化评价体系，</w:t>
            </w:r>
            <w:r>
              <w:rPr>
                <w:rFonts w:hint="eastAsia" w:ascii="宋体" w:hAnsi="宋体" w:cs="仿宋_GB2312"/>
                <w:sz w:val="20"/>
                <w:szCs w:val="20"/>
              </w:rPr>
              <w:t>纳入全系统年度各级目标考评体系，并</w:t>
            </w:r>
            <w:r>
              <w:rPr>
                <w:rFonts w:hint="eastAsia" w:ascii="宋体" w:hAnsi="宋体" w:cs="仿宋_GB2312"/>
                <w:bCs/>
                <w:sz w:val="20"/>
                <w:szCs w:val="20"/>
              </w:rPr>
              <w:t>作为评选长春市“平安校园示范校”和“平安校园创建先进单位”的重要依据</w:t>
            </w:r>
            <w:r>
              <w:rPr>
                <w:rFonts w:hint="eastAsia" w:ascii="宋体" w:hAnsi="宋体" w:cs="仿宋_GB2312"/>
                <w:sz w:val="20"/>
                <w:szCs w:val="20"/>
              </w:rPr>
              <w:t>。</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全年</w:t>
            </w:r>
          </w:p>
        </w:tc>
      </w:tr>
      <w:tr>
        <w:tblPrEx>
          <w:tblCellMar>
            <w:top w:w="0" w:type="dxa"/>
            <w:left w:w="108" w:type="dxa"/>
            <w:bottom w:w="0" w:type="dxa"/>
            <w:right w:w="108" w:type="dxa"/>
          </w:tblCellMar>
        </w:tblPrEx>
        <w:trPr>
          <w:trHeight w:val="1421" w:hRule="atLeast"/>
          <w:jc w:val="center"/>
        </w:trPr>
        <w:tc>
          <w:tcPr>
            <w:tcW w:w="481" w:type="dxa"/>
            <w:vMerge w:val="restart"/>
            <w:tcBorders>
              <w:top w:val="single" w:color="auto" w:sz="4" w:space="0"/>
              <w:left w:val="single" w:color="auto" w:sz="4" w:space="0"/>
              <w:right w:val="single" w:color="auto" w:sz="4" w:space="0"/>
            </w:tcBorders>
            <w:noWrap w:val="0"/>
            <w:vAlign w:val="center"/>
          </w:tcPr>
          <w:p>
            <w:pPr>
              <w:widowControl/>
              <w:jc w:val="left"/>
              <w:rPr>
                <w:rFonts w:ascii="宋体" w:hAnsi="宋体" w:cs="宋体"/>
                <w:b/>
                <w:bCs/>
                <w:kern w:val="0"/>
                <w:szCs w:val="21"/>
              </w:rPr>
            </w:pPr>
            <w:r>
              <w:rPr>
                <w:rFonts w:hint="eastAsia" w:ascii="宋体" w:hAnsi="宋体" w:cs="宋体"/>
                <w:b/>
                <w:bCs/>
                <w:kern w:val="0"/>
                <w:szCs w:val="21"/>
              </w:rPr>
              <w:t>五</w:t>
            </w:r>
          </w:p>
        </w:tc>
        <w:tc>
          <w:tcPr>
            <w:tcW w:w="993" w:type="dxa"/>
            <w:vMerge w:val="restart"/>
            <w:tcBorders>
              <w:top w:val="single" w:color="auto" w:sz="4" w:space="0"/>
              <w:left w:val="single" w:color="auto" w:sz="4" w:space="0"/>
              <w:right w:val="single" w:color="auto" w:sz="4" w:space="0"/>
            </w:tcBorders>
            <w:noWrap w:val="0"/>
            <w:vAlign w:val="center"/>
          </w:tcPr>
          <w:p>
            <w:pPr>
              <w:pStyle w:val="7"/>
              <w:spacing w:line="240" w:lineRule="exact"/>
              <w:jc w:val="left"/>
              <w:rPr>
                <w:rFonts w:hint="eastAsia" w:ascii="宋体" w:hAnsi="宋体"/>
                <w:szCs w:val="21"/>
              </w:rPr>
            </w:pPr>
            <w:r>
              <w:rPr>
                <w:rFonts w:hint="eastAsia" w:ascii="宋体" w:hAnsi="宋体"/>
                <w:szCs w:val="21"/>
              </w:rPr>
              <w:t>活化综合治理，进一步完善平安校园体系联动建设</w:t>
            </w:r>
          </w:p>
          <w:p>
            <w:pPr>
              <w:jc w:val="left"/>
              <w:rPr>
                <w:rFonts w:ascii="宋体" w:hAnsi="宋体" w:cs="宋体"/>
                <w:b/>
                <w:bCs/>
                <w:kern w:val="0"/>
                <w:szCs w:val="21"/>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cs="仿宋_GB2312"/>
                <w:sz w:val="20"/>
                <w:szCs w:val="20"/>
              </w:rPr>
            </w:pPr>
            <w:r>
              <w:rPr>
                <w:rFonts w:hint="eastAsia" w:ascii="宋体" w:hAnsi="宋体" w:cs="仿宋_GB2312"/>
                <w:sz w:val="20"/>
                <w:szCs w:val="20"/>
              </w:rPr>
              <w:t>18</w:t>
            </w:r>
          </w:p>
          <w:p>
            <w:pPr>
              <w:spacing w:line="260" w:lineRule="exact"/>
              <w:jc w:val="center"/>
              <w:rPr>
                <w:rFonts w:hint="eastAsia" w:ascii="宋体" w:hAnsi="宋体" w:cs="宋体"/>
                <w:kern w:val="0"/>
                <w:szCs w:val="21"/>
              </w:rPr>
            </w:pPr>
            <w:r>
              <w:rPr>
                <w:rFonts w:hint="eastAsia" w:ascii="宋体" w:hAnsi="宋体" w:cs="仿宋_GB2312"/>
                <w:sz w:val="20"/>
                <w:szCs w:val="20"/>
              </w:rPr>
              <w:t>推进“校闹”试点单位项目</w:t>
            </w:r>
          </w:p>
        </w:tc>
        <w:tc>
          <w:tcPr>
            <w:tcW w:w="629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宋体" w:hAnsi="宋体" w:cs="宋体"/>
                <w:kern w:val="0"/>
                <w:szCs w:val="21"/>
              </w:rPr>
            </w:pPr>
            <w:r>
              <w:rPr>
                <w:rFonts w:hint="eastAsia" w:ascii="宋体" w:hAnsi="宋体" w:cs="仿宋_GB2312"/>
                <w:sz w:val="20"/>
                <w:szCs w:val="20"/>
              </w:rPr>
              <w:t>以开展“建立学校安全风险社会化分担机制”为内容，承担教育部《全国依法治理“校闹”试点单位》项目。全力打造“依法依规、客观公正、多元参与、部门协作”的工作模式，营造良好教育环境和社会环境，为学生健康成长、全面发展提供保障。</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全年</w:t>
            </w:r>
          </w:p>
        </w:tc>
      </w:tr>
      <w:tr>
        <w:tblPrEx>
          <w:tblCellMar>
            <w:top w:w="0" w:type="dxa"/>
            <w:left w:w="108" w:type="dxa"/>
            <w:bottom w:w="0" w:type="dxa"/>
            <w:right w:w="108" w:type="dxa"/>
          </w:tblCellMar>
        </w:tblPrEx>
        <w:trPr>
          <w:trHeight w:val="690" w:hRule="atLeast"/>
          <w:jc w:val="center"/>
        </w:trPr>
        <w:tc>
          <w:tcPr>
            <w:tcW w:w="481" w:type="dxa"/>
            <w:vMerge w:val="continue"/>
            <w:tcBorders>
              <w:left w:val="single" w:color="auto" w:sz="4" w:space="0"/>
              <w:right w:val="single" w:color="auto" w:sz="4" w:space="0"/>
            </w:tcBorders>
            <w:noWrap w:val="0"/>
            <w:vAlign w:val="center"/>
          </w:tcPr>
          <w:p>
            <w:pPr>
              <w:widowControl/>
              <w:jc w:val="left"/>
              <w:rPr>
                <w:rFonts w:ascii="宋体" w:hAnsi="宋体" w:cs="宋体"/>
                <w:b/>
                <w:bCs/>
                <w:kern w:val="0"/>
                <w:szCs w:val="21"/>
              </w:rPr>
            </w:pPr>
          </w:p>
        </w:tc>
        <w:tc>
          <w:tcPr>
            <w:tcW w:w="993" w:type="dxa"/>
            <w:vMerge w:val="continue"/>
            <w:tcBorders>
              <w:left w:val="single" w:color="auto" w:sz="4" w:space="0"/>
              <w:right w:val="single" w:color="auto" w:sz="4" w:space="0"/>
            </w:tcBorders>
            <w:noWrap w:val="0"/>
            <w:vAlign w:val="center"/>
          </w:tcPr>
          <w:p>
            <w:pPr>
              <w:jc w:val="left"/>
              <w:rPr>
                <w:rFonts w:ascii="宋体" w:hAnsi="宋体" w:cs="宋体"/>
                <w:b/>
                <w:bCs/>
                <w:kern w:val="0"/>
                <w:szCs w:val="21"/>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cs="宋体"/>
                <w:kern w:val="0"/>
                <w:szCs w:val="21"/>
              </w:rPr>
            </w:pPr>
            <w:r>
              <w:rPr>
                <w:rFonts w:hint="eastAsia" w:ascii="宋体" w:hAnsi="宋体" w:cs="宋体"/>
                <w:kern w:val="0"/>
                <w:szCs w:val="21"/>
              </w:rPr>
              <w:t>19</w:t>
            </w:r>
          </w:p>
          <w:p>
            <w:pPr>
              <w:spacing w:line="260" w:lineRule="exact"/>
              <w:jc w:val="center"/>
              <w:rPr>
                <w:rFonts w:hint="eastAsia" w:ascii="宋体" w:hAnsi="宋体" w:cs="宋体"/>
                <w:kern w:val="0"/>
                <w:szCs w:val="21"/>
              </w:rPr>
            </w:pPr>
            <w:r>
              <w:rPr>
                <w:rFonts w:hint="eastAsia" w:ascii="宋体" w:hAnsi="宋体" w:cs="Tahoma"/>
                <w:kern w:val="0"/>
                <w:sz w:val="20"/>
                <w:szCs w:val="20"/>
              </w:rPr>
              <w:t>加强校园综合治理工作</w:t>
            </w:r>
          </w:p>
        </w:tc>
        <w:tc>
          <w:tcPr>
            <w:tcW w:w="6290" w:type="dxa"/>
            <w:tcBorders>
              <w:top w:val="single" w:color="auto" w:sz="4" w:space="0"/>
              <w:left w:val="nil"/>
              <w:bottom w:val="single" w:color="auto" w:sz="4" w:space="0"/>
              <w:right w:val="single" w:color="auto" w:sz="4" w:space="0"/>
            </w:tcBorders>
            <w:noWrap w:val="0"/>
            <w:vAlign w:val="center"/>
          </w:tcPr>
          <w:p>
            <w:pPr>
              <w:pStyle w:val="7"/>
              <w:spacing w:line="260" w:lineRule="exact"/>
              <w:jc w:val="left"/>
              <w:rPr>
                <w:rFonts w:hint="eastAsia" w:ascii="宋体" w:hAnsi="宋体" w:cs="宋体"/>
                <w:kern w:val="0"/>
                <w:szCs w:val="21"/>
              </w:rPr>
            </w:pPr>
            <w:r>
              <w:rPr>
                <w:rFonts w:hint="eastAsia" w:ascii="宋体" w:hAnsi="宋体" w:cs="Tahoma"/>
                <w:kern w:val="0"/>
                <w:sz w:val="20"/>
                <w:szCs w:val="20"/>
              </w:rPr>
              <w:t>完善“校园综治中心”常态化工作模式，以净化校园及周边环境，优化育人环境为重点工作任务，切实落实综合治理管控制度。</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全年</w:t>
            </w:r>
          </w:p>
        </w:tc>
      </w:tr>
      <w:tr>
        <w:tblPrEx>
          <w:tblCellMar>
            <w:top w:w="0" w:type="dxa"/>
            <w:left w:w="108" w:type="dxa"/>
            <w:bottom w:w="0" w:type="dxa"/>
            <w:right w:w="108" w:type="dxa"/>
          </w:tblCellMar>
        </w:tblPrEx>
        <w:trPr>
          <w:trHeight w:val="1202" w:hRule="atLeast"/>
          <w:jc w:val="center"/>
        </w:trPr>
        <w:tc>
          <w:tcPr>
            <w:tcW w:w="481"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Cs w:val="21"/>
              </w:rPr>
            </w:pPr>
          </w:p>
        </w:tc>
        <w:tc>
          <w:tcPr>
            <w:tcW w:w="993" w:type="dxa"/>
            <w:vMerge w:val="continue"/>
            <w:tcBorders>
              <w:left w:val="single" w:color="auto" w:sz="4" w:space="0"/>
              <w:bottom w:val="single" w:color="auto" w:sz="4" w:space="0"/>
              <w:right w:val="single" w:color="auto" w:sz="4" w:space="0"/>
            </w:tcBorders>
            <w:noWrap w:val="0"/>
            <w:vAlign w:val="center"/>
          </w:tcPr>
          <w:p>
            <w:pPr>
              <w:jc w:val="left"/>
              <w:rPr>
                <w:rFonts w:ascii="宋体" w:hAnsi="宋体" w:cs="宋体"/>
                <w:b/>
                <w:bCs/>
                <w:kern w:val="0"/>
                <w:szCs w:val="21"/>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cs="宋体"/>
                <w:kern w:val="0"/>
                <w:szCs w:val="21"/>
              </w:rPr>
            </w:pPr>
            <w:r>
              <w:rPr>
                <w:rFonts w:hint="eastAsia" w:ascii="宋体" w:hAnsi="宋体" w:cs="宋体"/>
                <w:kern w:val="0"/>
                <w:szCs w:val="21"/>
              </w:rPr>
              <w:t>20</w:t>
            </w:r>
          </w:p>
          <w:p>
            <w:pPr>
              <w:spacing w:line="260" w:lineRule="exact"/>
              <w:jc w:val="center"/>
              <w:rPr>
                <w:rFonts w:hint="eastAsia" w:ascii="宋体" w:hAnsi="宋体" w:cs="宋体"/>
                <w:kern w:val="0"/>
                <w:szCs w:val="21"/>
              </w:rPr>
            </w:pPr>
            <w:r>
              <w:rPr>
                <w:rFonts w:hint="eastAsia" w:ascii="宋体" w:hAnsi="宋体" w:cs="仿宋_GB2312"/>
                <w:sz w:val="20"/>
                <w:szCs w:val="20"/>
              </w:rPr>
              <w:t>提升“无乱象”星级校挂牌实效</w:t>
            </w:r>
          </w:p>
        </w:tc>
        <w:tc>
          <w:tcPr>
            <w:tcW w:w="6290"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exact"/>
              <w:rPr>
                <w:rFonts w:hint="eastAsia" w:ascii="宋体" w:hAnsi="宋体" w:cs="仿宋_GB2312"/>
                <w:sz w:val="20"/>
                <w:szCs w:val="20"/>
              </w:rPr>
            </w:pPr>
            <w:r>
              <w:rPr>
                <w:rFonts w:hint="eastAsia" w:ascii="宋体" w:hAnsi="宋体" w:cs="仿宋_GB2312"/>
                <w:sz w:val="20"/>
                <w:szCs w:val="20"/>
              </w:rPr>
              <w:t>深度开展校园及周边“无乱象”星级校挂牌活动，在采取学校自评与现场督评相结合方式的基础上，定期修订《二道区校园及周边“无乱象”亮点措施推广手册》，在全区所属学校中实时推广亮点措施。</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全年</w:t>
            </w:r>
          </w:p>
        </w:tc>
      </w:tr>
    </w:tbl>
    <w:p>
      <w:pPr>
        <w:spacing w:line="500" w:lineRule="exact"/>
        <w:rPr>
          <w:rFonts w:ascii="方正仿宋_GBK" w:hAnsi="Tahoma" w:eastAsia="方正仿宋_GBK" w:cs="Tahoma"/>
          <w:kern w:val="0"/>
          <w:sz w:val="32"/>
          <w:szCs w:val="32"/>
        </w:rPr>
      </w:pPr>
    </w:p>
    <w:p>
      <w:pPr>
        <w:spacing w:line="500" w:lineRule="exact"/>
        <w:rPr>
          <w:rFonts w:ascii="方正仿宋_GBK" w:hAnsi="Tahoma" w:eastAsia="方正仿宋_GBK" w:cs="Tahoma"/>
          <w:kern w:val="0"/>
          <w:sz w:val="32"/>
          <w:szCs w:val="32"/>
        </w:rPr>
      </w:pPr>
    </w:p>
    <w:p>
      <w:pPr>
        <w:spacing w:line="500" w:lineRule="exact"/>
        <w:rPr>
          <w:rFonts w:hint="eastAsia" w:ascii="方正仿宋_GBK" w:hAnsi="Tahoma" w:eastAsia="方正仿宋_GBK" w:cs="Tahoma"/>
          <w:kern w:val="0"/>
          <w:sz w:val="32"/>
          <w:szCs w:val="32"/>
        </w:rPr>
      </w:pPr>
    </w:p>
    <w:p>
      <w:pPr>
        <w:spacing w:line="600" w:lineRule="exact"/>
        <w:rPr>
          <w:rFonts w:hint="eastAsia" w:ascii="方正仿宋_GBK" w:hAnsi="仿宋" w:eastAsia="方正仿宋_GBK"/>
          <w:sz w:val="30"/>
          <w:szCs w:val="30"/>
        </w:rPr>
      </w:pPr>
    </w:p>
    <w:p/>
    <w:sectPr>
      <w:headerReference r:id="rId3" w:type="default"/>
      <w:footerReference r:id="rId4" w:type="default"/>
      <w:footerReference r:id="rId5" w:type="even"/>
      <w:pgSz w:w="11906" w:h="16838"/>
      <w:pgMar w:top="1134" w:right="1800" w:bottom="1134"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9</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431C12"/>
    <w:rsid w:val="54431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99"/>
  </w:style>
  <w:style w:type="paragraph" w:styleId="7">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2020-11-12T12:42:00Z</dcterms:created>
  <dc:creator>鸽。</dc:creator>
  <cp:lastModifiedBy>鸽。</cp:lastModifiedBy>
  <dcterms:modified xsi:type="dcterms:W3CDTF">2020-11-12T12:44:52Z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