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1C6" w:rsidRDefault="003931C6">
      <w:pPr>
        <w:jc w:val="center"/>
        <w:rPr>
          <w:rFonts w:ascii="Arial" w:eastAsia="方正小标宋简体" w:hAnsi="Arial" w:cs="Arial"/>
          <w:sz w:val="44"/>
          <w:szCs w:val="44"/>
        </w:rPr>
      </w:pPr>
    </w:p>
    <w:p w:rsidR="003931C6" w:rsidRDefault="003931C6">
      <w:pPr>
        <w:jc w:val="center"/>
        <w:rPr>
          <w:rFonts w:ascii="Arial" w:eastAsia="方正小标宋简体" w:hAnsi="Arial" w:cs="Arial"/>
          <w:sz w:val="44"/>
          <w:szCs w:val="44"/>
        </w:rPr>
      </w:pPr>
    </w:p>
    <w:p w:rsidR="003931C6" w:rsidRDefault="003931C6">
      <w:pPr>
        <w:jc w:val="center"/>
        <w:rPr>
          <w:rFonts w:ascii="Arial" w:eastAsia="方正小标宋简体" w:hAnsi="Arial" w:cs="Arial"/>
          <w:sz w:val="44"/>
          <w:szCs w:val="44"/>
        </w:rPr>
      </w:pPr>
    </w:p>
    <w:p w:rsidR="003931C6" w:rsidRDefault="003931C6">
      <w:pPr>
        <w:jc w:val="center"/>
        <w:rPr>
          <w:rFonts w:ascii="Arial" w:eastAsia="方正小标宋简体" w:hAnsi="Arial" w:cs="Arial"/>
          <w:sz w:val="44"/>
          <w:szCs w:val="44"/>
        </w:rPr>
      </w:pPr>
    </w:p>
    <w:p w:rsidR="003931C6" w:rsidRDefault="003931C6">
      <w:pPr>
        <w:jc w:val="center"/>
        <w:rPr>
          <w:rFonts w:ascii="Arial" w:eastAsia="方正小标宋简体" w:hAnsi="Arial" w:cs="Arial"/>
          <w:sz w:val="44"/>
          <w:szCs w:val="44"/>
        </w:rPr>
      </w:pPr>
    </w:p>
    <w:p w:rsidR="003931C6" w:rsidRDefault="003931C6">
      <w:pPr>
        <w:jc w:val="center"/>
        <w:rPr>
          <w:rFonts w:ascii="Arial" w:eastAsia="方正小标宋简体" w:hAnsi="Arial" w:cs="Arial"/>
          <w:sz w:val="44"/>
          <w:szCs w:val="44"/>
        </w:rPr>
      </w:pPr>
    </w:p>
    <w:p w:rsidR="003931C6" w:rsidRDefault="003C5653">
      <w:pPr>
        <w:jc w:val="center"/>
        <w:rPr>
          <w:rFonts w:ascii="Arial" w:eastAsia="方正小标宋简体" w:hAnsi="Arial" w:cs="Times New Roman"/>
          <w:sz w:val="44"/>
          <w:szCs w:val="44"/>
        </w:rPr>
      </w:pPr>
      <w:r>
        <w:rPr>
          <w:rFonts w:ascii="Arial" w:eastAsia="方正小标宋简体" w:hAnsi="Arial" w:cs="Arial"/>
          <w:sz w:val="44"/>
          <w:szCs w:val="44"/>
        </w:rPr>
        <w:t>20</w:t>
      </w:r>
      <w:r w:rsidR="0017227F">
        <w:rPr>
          <w:rFonts w:ascii="Arial" w:eastAsia="方正小标宋简体" w:hAnsi="Arial" w:cs="Arial" w:hint="eastAsia"/>
          <w:sz w:val="44"/>
          <w:szCs w:val="44"/>
        </w:rPr>
        <w:t>2</w:t>
      </w:r>
      <w:r w:rsidR="0002628D">
        <w:rPr>
          <w:rFonts w:ascii="Arial" w:eastAsia="方正小标宋简体" w:hAnsi="Arial" w:cs="Arial" w:hint="eastAsia"/>
          <w:sz w:val="44"/>
          <w:szCs w:val="44"/>
        </w:rPr>
        <w:t>2</w:t>
      </w:r>
      <w:r>
        <w:rPr>
          <w:rFonts w:ascii="Arial" w:eastAsia="方正小标宋简体" w:hAnsi="Arial" w:cs="方正小标宋简体" w:hint="eastAsia"/>
          <w:sz w:val="44"/>
          <w:szCs w:val="44"/>
        </w:rPr>
        <w:t>年长春市二道区教育局</w:t>
      </w:r>
    </w:p>
    <w:p w:rsidR="003931C6" w:rsidRDefault="003C5653">
      <w:pPr>
        <w:jc w:val="center"/>
        <w:rPr>
          <w:rFonts w:ascii="Arial" w:eastAsia="方正小标宋简体" w:hAnsi="Arial" w:cs="Times New Roman"/>
          <w:sz w:val="44"/>
          <w:szCs w:val="44"/>
        </w:rPr>
      </w:pPr>
      <w:r>
        <w:rPr>
          <w:rFonts w:ascii="Arial" w:eastAsia="方正小标宋简体" w:hAnsi="Arial" w:cs="方正小标宋简体" w:hint="eastAsia"/>
          <w:sz w:val="44"/>
          <w:szCs w:val="44"/>
        </w:rPr>
        <w:t>部门预算</w:t>
      </w:r>
    </w:p>
    <w:p w:rsidR="003931C6" w:rsidRDefault="003931C6">
      <w:pPr>
        <w:jc w:val="center"/>
        <w:rPr>
          <w:rFonts w:ascii="Arial" w:eastAsia="方正小标宋简体" w:hAnsi="Arial" w:cs="Times New Roman"/>
          <w:sz w:val="44"/>
          <w:szCs w:val="44"/>
        </w:rPr>
      </w:pPr>
    </w:p>
    <w:p w:rsidR="003931C6" w:rsidRDefault="003931C6">
      <w:pPr>
        <w:jc w:val="center"/>
        <w:rPr>
          <w:rFonts w:ascii="Arial" w:eastAsia="方正小标宋简体" w:hAnsi="Arial" w:cs="Times New Roman"/>
          <w:sz w:val="44"/>
          <w:szCs w:val="44"/>
        </w:rPr>
      </w:pPr>
    </w:p>
    <w:p w:rsidR="003931C6" w:rsidRDefault="003931C6">
      <w:pPr>
        <w:jc w:val="center"/>
        <w:rPr>
          <w:rFonts w:ascii="Arial" w:eastAsia="方正小标宋简体" w:hAnsi="Arial" w:cs="Times New Roman"/>
          <w:sz w:val="44"/>
          <w:szCs w:val="44"/>
        </w:rPr>
      </w:pPr>
    </w:p>
    <w:p w:rsidR="003931C6" w:rsidRDefault="003931C6">
      <w:pPr>
        <w:jc w:val="center"/>
        <w:rPr>
          <w:rFonts w:ascii="Arial" w:eastAsia="方正小标宋简体" w:hAnsi="Arial" w:cs="Times New Roman"/>
          <w:sz w:val="44"/>
          <w:szCs w:val="44"/>
        </w:rPr>
      </w:pPr>
    </w:p>
    <w:p w:rsidR="003931C6" w:rsidRDefault="003931C6">
      <w:pPr>
        <w:jc w:val="center"/>
        <w:rPr>
          <w:rFonts w:ascii="Arial" w:eastAsia="方正小标宋简体" w:hAnsi="Arial" w:cs="Times New Roman"/>
          <w:sz w:val="44"/>
          <w:szCs w:val="44"/>
        </w:rPr>
      </w:pPr>
    </w:p>
    <w:p w:rsidR="003931C6" w:rsidRDefault="003931C6">
      <w:pPr>
        <w:jc w:val="center"/>
        <w:rPr>
          <w:rFonts w:ascii="Arial" w:eastAsia="方正小标宋简体" w:hAnsi="Arial" w:cs="Times New Roman"/>
          <w:sz w:val="44"/>
          <w:szCs w:val="44"/>
        </w:rPr>
      </w:pPr>
    </w:p>
    <w:p w:rsidR="003931C6" w:rsidRDefault="003931C6">
      <w:pPr>
        <w:jc w:val="center"/>
        <w:rPr>
          <w:rFonts w:ascii="Arial" w:eastAsia="方正小标宋简体" w:hAnsi="Arial" w:cs="Times New Roman"/>
          <w:sz w:val="44"/>
          <w:szCs w:val="44"/>
        </w:rPr>
      </w:pPr>
    </w:p>
    <w:p w:rsidR="003931C6" w:rsidRDefault="003931C6">
      <w:pPr>
        <w:jc w:val="center"/>
        <w:rPr>
          <w:rFonts w:ascii="Arial" w:eastAsia="方正小标宋简体" w:hAnsi="Arial" w:cs="Times New Roman"/>
          <w:sz w:val="44"/>
          <w:szCs w:val="44"/>
        </w:rPr>
      </w:pPr>
    </w:p>
    <w:p w:rsidR="003931C6" w:rsidRDefault="003931C6">
      <w:pPr>
        <w:jc w:val="center"/>
        <w:rPr>
          <w:rFonts w:ascii="Arial" w:eastAsia="方正小标宋简体" w:hAnsi="Arial" w:cs="Times New Roman"/>
          <w:sz w:val="44"/>
          <w:szCs w:val="44"/>
        </w:rPr>
      </w:pPr>
    </w:p>
    <w:p w:rsidR="003931C6" w:rsidRDefault="003931C6">
      <w:pPr>
        <w:jc w:val="center"/>
        <w:rPr>
          <w:rFonts w:ascii="Arial" w:eastAsia="方正小标宋简体" w:hAnsi="Arial" w:cs="Times New Roman"/>
          <w:sz w:val="44"/>
          <w:szCs w:val="44"/>
        </w:rPr>
      </w:pPr>
    </w:p>
    <w:p w:rsidR="003931C6" w:rsidRDefault="003C5653">
      <w:pPr>
        <w:jc w:val="center"/>
        <w:rPr>
          <w:rFonts w:ascii="Arial" w:eastAsia="方正小标宋简体" w:hAnsi="Arial" w:cs="Times New Roman"/>
          <w:sz w:val="44"/>
          <w:szCs w:val="44"/>
        </w:rPr>
      </w:pPr>
      <w:r>
        <w:rPr>
          <w:rFonts w:ascii="Arial" w:eastAsia="方正小标宋简体" w:hAnsi="Arial" w:cs="Times New Roman" w:hint="eastAsia"/>
          <w:sz w:val="44"/>
          <w:szCs w:val="44"/>
        </w:rPr>
        <w:t xml:space="preserve">  </w:t>
      </w:r>
    </w:p>
    <w:p w:rsidR="003931C6" w:rsidRDefault="003931C6">
      <w:pPr>
        <w:jc w:val="center"/>
        <w:rPr>
          <w:rFonts w:ascii="Arial" w:eastAsia="方正小标宋简体" w:hAnsi="Arial" w:cs="Times New Roman"/>
          <w:sz w:val="44"/>
          <w:szCs w:val="44"/>
        </w:rPr>
      </w:pPr>
    </w:p>
    <w:p w:rsidR="003931C6" w:rsidRDefault="003C5653">
      <w:pPr>
        <w:spacing w:line="540" w:lineRule="exact"/>
        <w:jc w:val="center"/>
        <w:outlineLvl w:val="1"/>
        <w:rPr>
          <w:rFonts w:ascii="方正小标宋简体" w:eastAsia="方正小标宋简体" w:hAnsi="方正小标宋简体" w:cs="Times New Roman"/>
          <w:sz w:val="44"/>
          <w:szCs w:val="44"/>
        </w:rPr>
      </w:pPr>
      <w:r>
        <w:rPr>
          <w:rFonts w:ascii="方正小标宋简体" w:eastAsia="方正小标宋简体" w:hAnsi="方正小标宋简体" w:cs="Times New Roman"/>
          <w:sz w:val="44"/>
          <w:szCs w:val="44"/>
        </w:rPr>
        <w:br w:type="page"/>
      </w: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3931C6" w:rsidRDefault="003931C6">
      <w:pPr>
        <w:spacing w:line="540" w:lineRule="exact"/>
        <w:rPr>
          <w:rFonts w:ascii="方正小标宋简体" w:eastAsia="方正小标宋简体" w:hAnsi="方正小标宋简体" w:cs="Times New Roman"/>
          <w:sz w:val="44"/>
          <w:szCs w:val="44"/>
        </w:rPr>
      </w:pPr>
    </w:p>
    <w:p w:rsidR="003931C6" w:rsidRDefault="003C5653">
      <w:pPr>
        <w:spacing w:line="540" w:lineRule="exact"/>
        <w:rPr>
          <w:rFonts w:ascii="黑体" w:eastAsia="黑体" w:hAnsi="黑体" w:cs="Times New Roman"/>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部门概况</w:t>
      </w:r>
    </w:p>
    <w:p w:rsidR="003931C6" w:rsidRDefault="003C5653">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一、主要职能</w:t>
      </w:r>
    </w:p>
    <w:p w:rsidR="003931C6" w:rsidRDefault="003C5653">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二、机构设置及部门预算单位构成</w:t>
      </w:r>
    </w:p>
    <w:p w:rsidR="003931C6" w:rsidRDefault="003C5653">
      <w:pPr>
        <w:spacing w:line="540" w:lineRule="exact"/>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w:t>
      </w:r>
      <w:r w:rsidR="0017227F">
        <w:rPr>
          <w:rFonts w:ascii="黑体" w:eastAsia="黑体" w:hAnsi="黑体" w:cs="黑体" w:hint="eastAsia"/>
          <w:sz w:val="32"/>
          <w:szCs w:val="32"/>
        </w:rPr>
        <w:t>2</w:t>
      </w:r>
      <w:r w:rsidR="00E1126E">
        <w:rPr>
          <w:rFonts w:ascii="黑体" w:eastAsia="黑体" w:hAnsi="黑体" w:cs="黑体" w:hint="eastAsia"/>
          <w:sz w:val="32"/>
          <w:szCs w:val="32"/>
        </w:rPr>
        <w:t>2</w:t>
      </w:r>
      <w:r>
        <w:rPr>
          <w:rFonts w:ascii="黑体" w:eastAsia="黑体" w:hAnsi="黑体" w:cs="黑体" w:hint="eastAsia"/>
          <w:sz w:val="32"/>
          <w:szCs w:val="32"/>
        </w:rPr>
        <w:t>年度部门预算表</w:t>
      </w:r>
    </w:p>
    <w:p w:rsidR="003931C6" w:rsidRDefault="003C5653">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一、财政拨款收支总表</w:t>
      </w:r>
    </w:p>
    <w:p w:rsidR="003931C6" w:rsidRDefault="003C5653">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二、一般公共预算支出表</w:t>
      </w:r>
    </w:p>
    <w:p w:rsidR="003931C6" w:rsidRDefault="003C5653">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三、一般公共预算基本支出表</w:t>
      </w:r>
    </w:p>
    <w:p w:rsidR="003931C6" w:rsidRDefault="003C5653">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四、一般公共预算</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“三公”经费支出表</w:t>
      </w:r>
    </w:p>
    <w:p w:rsidR="003931C6" w:rsidRDefault="003C5653">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五、政府性基金预算支出表</w:t>
      </w:r>
    </w:p>
    <w:p w:rsidR="003931C6" w:rsidRDefault="003C5653">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六、部门收支总表</w:t>
      </w:r>
    </w:p>
    <w:p w:rsidR="003931C6" w:rsidRDefault="003C5653">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七、部门收入总表</w:t>
      </w:r>
    </w:p>
    <w:p w:rsidR="003931C6" w:rsidRDefault="003C5653">
      <w:pPr>
        <w:spacing w:line="540" w:lineRule="exact"/>
        <w:rPr>
          <w:rFonts w:ascii="仿宋_GB2312" w:eastAsia="仿宋_GB2312" w:hAnsi="仿宋" w:cs="仿宋_GB2312"/>
          <w:sz w:val="32"/>
          <w:szCs w:val="32"/>
        </w:rPr>
      </w:pPr>
      <w:r>
        <w:rPr>
          <w:rFonts w:ascii="仿宋_GB2312" w:eastAsia="仿宋_GB2312" w:hAnsi="仿宋" w:cs="仿宋_GB2312" w:hint="eastAsia"/>
          <w:sz w:val="32"/>
          <w:szCs w:val="32"/>
        </w:rPr>
        <w:t>八、部门支出总表</w:t>
      </w:r>
    </w:p>
    <w:p w:rsidR="003931C6" w:rsidRDefault="003C5653">
      <w:pPr>
        <w:spacing w:line="540" w:lineRule="exact"/>
        <w:rPr>
          <w:rFonts w:ascii="黑体" w:eastAsia="黑体" w:hAnsi="黑体" w:cs="黑体"/>
          <w:sz w:val="32"/>
          <w:szCs w:val="32"/>
        </w:rPr>
      </w:pPr>
      <w:bookmarkStart w:id="0" w:name="_GoBack"/>
      <w:r>
        <w:rPr>
          <w:rFonts w:ascii="黑体" w:eastAsia="黑体" w:hAnsi="黑体" w:cs="黑体" w:hint="eastAsia"/>
          <w:sz w:val="32"/>
          <w:szCs w:val="32"/>
        </w:rPr>
        <w:t>第三部分 20</w:t>
      </w:r>
      <w:r w:rsidR="0017227F">
        <w:rPr>
          <w:rFonts w:ascii="黑体" w:eastAsia="黑体" w:hAnsi="黑体" w:cs="黑体" w:hint="eastAsia"/>
          <w:sz w:val="32"/>
          <w:szCs w:val="32"/>
        </w:rPr>
        <w:t>2</w:t>
      </w:r>
      <w:r w:rsidR="000A0463">
        <w:rPr>
          <w:rFonts w:ascii="黑体" w:eastAsia="黑体" w:hAnsi="黑体" w:cs="黑体" w:hint="eastAsia"/>
          <w:sz w:val="32"/>
          <w:szCs w:val="32"/>
        </w:rPr>
        <w:t>2</w:t>
      </w:r>
      <w:r>
        <w:rPr>
          <w:rFonts w:ascii="黑体" w:eastAsia="黑体" w:hAnsi="黑体" w:cs="黑体" w:hint="eastAsia"/>
          <w:sz w:val="32"/>
          <w:szCs w:val="32"/>
        </w:rPr>
        <w:t>年部门预算说明</w:t>
      </w:r>
    </w:p>
    <w:p w:rsidR="003931C6" w:rsidRDefault="003C5653">
      <w:pPr>
        <w:spacing w:line="540" w:lineRule="exact"/>
        <w:rPr>
          <w:rFonts w:ascii="黑体" w:eastAsia="黑体" w:hAnsi="黑体" w:cs="黑体"/>
          <w:sz w:val="32"/>
          <w:szCs w:val="32"/>
        </w:rPr>
      </w:pPr>
      <w:r>
        <w:rPr>
          <w:rFonts w:ascii="黑体" w:eastAsia="黑体" w:hAnsi="黑体" w:cs="黑体" w:hint="eastAsia"/>
          <w:sz w:val="32"/>
          <w:szCs w:val="32"/>
        </w:rPr>
        <w:t>第四部分 名词解释</w:t>
      </w:r>
    </w:p>
    <w:bookmarkEnd w:id="0"/>
    <w:p w:rsidR="003931C6" w:rsidRDefault="003931C6">
      <w:pPr>
        <w:spacing w:line="540" w:lineRule="exact"/>
        <w:rPr>
          <w:rFonts w:ascii="仿宋_GB2312" w:eastAsia="仿宋_GB2312" w:hAnsi="仿宋" w:cs="仿宋_GB2312"/>
          <w:sz w:val="32"/>
          <w:szCs w:val="32"/>
        </w:rPr>
      </w:pPr>
    </w:p>
    <w:p w:rsidR="003931C6" w:rsidRDefault="003931C6">
      <w:pPr>
        <w:spacing w:line="500" w:lineRule="exact"/>
        <w:rPr>
          <w:rFonts w:ascii="宋体" w:cs="Times New Roman"/>
          <w:sz w:val="32"/>
          <w:szCs w:val="32"/>
        </w:rPr>
      </w:pPr>
    </w:p>
    <w:p w:rsidR="003931C6" w:rsidRDefault="003931C6">
      <w:pPr>
        <w:spacing w:line="540" w:lineRule="exact"/>
        <w:rPr>
          <w:rFonts w:ascii="仿宋" w:eastAsia="仿宋" w:hAnsi="仿宋" w:cs="Times New Roman"/>
          <w:sz w:val="32"/>
          <w:szCs w:val="32"/>
        </w:rPr>
      </w:pPr>
    </w:p>
    <w:p w:rsidR="003931C6" w:rsidRDefault="003931C6">
      <w:pPr>
        <w:spacing w:line="540" w:lineRule="exact"/>
        <w:rPr>
          <w:rFonts w:ascii="仿宋" w:eastAsia="仿宋" w:hAnsi="仿宋" w:cs="Times New Roman"/>
          <w:sz w:val="32"/>
          <w:szCs w:val="32"/>
        </w:rPr>
      </w:pPr>
    </w:p>
    <w:p w:rsidR="003931C6" w:rsidRDefault="003931C6">
      <w:pPr>
        <w:spacing w:line="540" w:lineRule="exact"/>
        <w:rPr>
          <w:rFonts w:ascii="仿宋" w:eastAsia="仿宋" w:hAnsi="仿宋" w:cs="Times New Roman"/>
          <w:sz w:val="32"/>
          <w:szCs w:val="32"/>
        </w:rPr>
      </w:pPr>
    </w:p>
    <w:p w:rsidR="003931C6" w:rsidRDefault="003931C6">
      <w:pPr>
        <w:spacing w:line="540" w:lineRule="exact"/>
        <w:rPr>
          <w:rFonts w:ascii="仿宋" w:eastAsia="仿宋" w:hAnsi="仿宋" w:cs="Times New Roman"/>
          <w:sz w:val="32"/>
          <w:szCs w:val="32"/>
        </w:rPr>
      </w:pPr>
    </w:p>
    <w:p w:rsidR="003931C6" w:rsidRDefault="003931C6">
      <w:pPr>
        <w:spacing w:line="540" w:lineRule="exact"/>
        <w:rPr>
          <w:rFonts w:ascii="仿宋" w:eastAsia="仿宋" w:hAnsi="仿宋" w:cs="Times New Roman"/>
          <w:sz w:val="32"/>
          <w:szCs w:val="32"/>
        </w:rPr>
      </w:pPr>
    </w:p>
    <w:p w:rsidR="003931C6" w:rsidRDefault="003931C6">
      <w:pPr>
        <w:spacing w:line="540" w:lineRule="exact"/>
        <w:rPr>
          <w:rFonts w:ascii="仿宋" w:eastAsia="仿宋" w:hAnsi="仿宋" w:cs="Times New Roman"/>
          <w:sz w:val="32"/>
          <w:szCs w:val="32"/>
        </w:rPr>
      </w:pPr>
    </w:p>
    <w:p w:rsidR="003931C6" w:rsidRDefault="003931C6">
      <w:pPr>
        <w:spacing w:line="540" w:lineRule="exact"/>
        <w:rPr>
          <w:rFonts w:ascii="仿宋" w:eastAsia="仿宋" w:hAnsi="仿宋" w:cs="Times New Roman"/>
          <w:sz w:val="32"/>
          <w:szCs w:val="32"/>
        </w:rPr>
      </w:pPr>
    </w:p>
    <w:p w:rsidR="003931C6" w:rsidRDefault="003931C6">
      <w:pPr>
        <w:spacing w:line="540" w:lineRule="exact"/>
        <w:rPr>
          <w:rFonts w:ascii="仿宋" w:eastAsia="仿宋" w:hAnsi="仿宋" w:cs="Times New Roman"/>
          <w:sz w:val="32"/>
          <w:szCs w:val="32"/>
        </w:rPr>
      </w:pPr>
    </w:p>
    <w:p w:rsidR="003931C6" w:rsidRDefault="003931C6">
      <w:pPr>
        <w:spacing w:line="360" w:lineRule="auto"/>
        <w:rPr>
          <w:rFonts w:ascii="宋体" w:hAnsi="宋体" w:cs="宋体"/>
          <w:sz w:val="44"/>
          <w:szCs w:val="44"/>
        </w:rPr>
      </w:pPr>
    </w:p>
    <w:p w:rsidR="003931C6" w:rsidRDefault="003C5653">
      <w:pPr>
        <w:spacing w:line="360" w:lineRule="auto"/>
        <w:rPr>
          <w:rFonts w:ascii="宋体" w:cs="Times New Roman"/>
          <w:sz w:val="44"/>
          <w:szCs w:val="44"/>
        </w:rPr>
      </w:pPr>
      <w:r>
        <w:rPr>
          <w:rFonts w:ascii="宋体" w:hAnsi="宋体" w:cs="宋体" w:hint="eastAsia"/>
          <w:sz w:val="44"/>
          <w:szCs w:val="44"/>
        </w:rPr>
        <w:t xml:space="preserve">     </w:t>
      </w:r>
      <w:r>
        <w:rPr>
          <w:rFonts w:ascii="宋体" w:hAnsi="宋体" w:cs="宋体"/>
          <w:sz w:val="44"/>
          <w:szCs w:val="44"/>
        </w:rPr>
        <w:t>20</w:t>
      </w:r>
      <w:r w:rsidR="0017227F">
        <w:rPr>
          <w:rFonts w:ascii="宋体" w:hAnsi="宋体" w:cs="宋体" w:hint="eastAsia"/>
          <w:sz w:val="44"/>
          <w:szCs w:val="44"/>
        </w:rPr>
        <w:t>2</w:t>
      </w:r>
      <w:r w:rsidR="00E1126E">
        <w:rPr>
          <w:rFonts w:ascii="宋体" w:hAnsi="宋体" w:cs="宋体" w:hint="eastAsia"/>
          <w:sz w:val="44"/>
          <w:szCs w:val="44"/>
        </w:rPr>
        <w:t>2</w:t>
      </w:r>
      <w:r>
        <w:rPr>
          <w:rFonts w:ascii="宋体" w:hAnsi="宋体" w:cs="宋体" w:hint="eastAsia"/>
          <w:sz w:val="44"/>
          <w:szCs w:val="44"/>
        </w:rPr>
        <w:t>年度长春市二道区教育局</w:t>
      </w:r>
    </w:p>
    <w:p w:rsidR="003931C6" w:rsidRDefault="003C5653">
      <w:pPr>
        <w:spacing w:line="360" w:lineRule="auto"/>
        <w:jc w:val="center"/>
        <w:rPr>
          <w:rFonts w:ascii="宋体" w:cs="Times New Roman"/>
          <w:sz w:val="44"/>
          <w:szCs w:val="44"/>
        </w:rPr>
      </w:pPr>
      <w:r>
        <w:rPr>
          <w:rFonts w:ascii="宋体" w:hAnsi="宋体" w:cs="宋体" w:hint="eastAsia"/>
          <w:sz w:val="44"/>
          <w:szCs w:val="44"/>
        </w:rPr>
        <w:t>部门预算</w:t>
      </w:r>
    </w:p>
    <w:p w:rsidR="003931C6" w:rsidRDefault="003931C6">
      <w:pPr>
        <w:widowControl/>
        <w:spacing w:before="100" w:beforeAutospacing="1" w:after="100" w:afterAutospacing="1" w:line="360" w:lineRule="auto"/>
        <w:jc w:val="center"/>
        <w:rPr>
          <w:rFonts w:ascii="宋体" w:cs="Times New Roman"/>
          <w:color w:val="3E3E3E"/>
          <w:kern w:val="0"/>
          <w:sz w:val="18"/>
          <w:szCs w:val="18"/>
        </w:rPr>
      </w:pPr>
    </w:p>
    <w:p w:rsidR="003931C6" w:rsidRDefault="003C5653">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第一部分部门概述</w:t>
      </w:r>
    </w:p>
    <w:p w:rsidR="003931C6" w:rsidRDefault="003C5653">
      <w:pPr>
        <w:ind w:firstLine="420"/>
        <w:rPr>
          <w:sz w:val="28"/>
          <w:szCs w:val="36"/>
        </w:rPr>
      </w:pPr>
      <w:r>
        <w:rPr>
          <w:rFonts w:hint="eastAsia"/>
          <w:sz w:val="28"/>
          <w:szCs w:val="36"/>
        </w:rPr>
        <w:t>（一）贯彻执行中央、省、市关于教育工作的方针、政策、法律、规章制度。</w:t>
      </w:r>
    </w:p>
    <w:p w:rsidR="003931C6" w:rsidRDefault="003C5653">
      <w:pPr>
        <w:tabs>
          <w:tab w:val="left" w:pos="900"/>
        </w:tabs>
        <w:ind w:firstLine="420"/>
        <w:rPr>
          <w:sz w:val="28"/>
          <w:szCs w:val="36"/>
        </w:rPr>
      </w:pPr>
      <w:r>
        <w:rPr>
          <w:rFonts w:hint="eastAsia"/>
          <w:sz w:val="28"/>
          <w:szCs w:val="36"/>
        </w:rPr>
        <w:t>（二）研究制定教育事业发展规划，拟定教育事业发展重点、规模、速度和步骤；指导、协调教育规划、计划的实施。</w:t>
      </w:r>
    </w:p>
    <w:p w:rsidR="003931C6" w:rsidRDefault="003C5653">
      <w:pPr>
        <w:numPr>
          <w:ilvl w:val="0"/>
          <w:numId w:val="1"/>
        </w:numPr>
        <w:ind w:firstLine="420"/>
        <w:rPr>
          <w:sz w:val="28"/>
          <w:szCs w:val="36"/>
        </w:rPr>
      </w:pPr>
      <w:r>
        <w:rPr>
          <w:rFonts w:hint="eastAsia"/>
          <w:sz w:val="28"/>
          <w:szCs w:val="36"/>
        </w:rPr>
        <w:t>综合管理全区的幼儿教育、基础教育、职业基础教育、成人教育等工作；指导协调各部门有关教育的工作；宣传贯彻国家语言文字工作的方针、政策，并组织监督检查。</w:t>
      </w:r>
    </w:p>
    <w:p w:rsidR="003931C6" w:rsidRDefault="003C5653">
      <w:pPr>
        <w:numPr>
          <w:ilvl w:val="0"/>
          <w:numId w:val="1"/>
        </w:numPr>
        <w:ind w:firstLine="420"/>
        <w:rPr>
          <w:sz w:val="28"/>
          <w:szCs w:val="36"/>
        </w:rPr>
      </w:pPr>
      <w:r>
        <w:rPr>
          <w:rFonts w:hint="eastAsia"/>
          <w:sz w:val="28"/>
          <w:szCs w:val="36"/>
        </w:rPr>
        <w:t>统筹规划、部署指导教育体制和办学体制的改革、理顺教育内部同外部的关系。</w:t>
      </w:r>
    </w:p>
    <w:p w:rsidR="003931C6" w:rsidRDefault="003C5653">
      <w:pPr>
        <w:numPr>
          <w:ilvl w:val="0"/>
          <w:numId w:val="1"/>
        </w:numPr>
        <w:ind w:firstLine="420"/>
        <w:rPr>
          <w:sz w:val="28"/>
          <w:szCs w:val="36"/>
        </w:rPr>
      </w:pPr>
      <w:r>
        <w:rPr>
          <w:rFonts w:hint="eastAsia"/>
          <w:sz w:val="28"/>
          <w:szCs w:val="36"/>
        </w:rPr>
        <w:t>按照教育经费“三个增长”的原则，会同有关部门制定筹措教育经费、教育拨款、教育基建投资的办法和原则。</w:t>
      </w:r>
    </w:p>
    <w:p w:rsidR="003931C6" w:rsidRDefault="003C5653">
      <w:pPr>
        <w:numPr>
          <w:ilvl w:val="0"/>
          <w:numId w:val="1"/>
        </w:numPr>
        <w:ind w:firstLine="420"/>
        <w:rPr>
          <w:sz w:val="28"/>
          <w:szCs w:val="36"/>
        </w:rPr>
      </w:pPr>
      <w:r>
        <w:rPr>
          <w:rFonts w:hint="eastAsia"/>
          <w:sz w:val="28"/>
          <w:szCs w:val="36"/>
        </w:rPr>
        <w:t>会同有关部门制定和执行教育系统劳动工资和人事管理工作的有关政策和规章制度；指导学校内部管理体制改革；统筹规划、指导实施各级各类教师的教育行政干部队伍的建设工作。</w:t>
      </w:r>
    </w:p>
    <w:p w:rsidR="003931C6" w:rsidRDefault="003C5653">
      <w:pPr>
        <w:numPr>
          <w:ilvl w:val="0"/>
          <w:numId w:val="1"/>
        </w:numPr>
        <w:ind w:firstLine="420"/>
        <w:rPr>
          <w:sz w:val="28"/>
          <w:szCs w:val="36"/>
        </w:rPr>
      </w:pPr>
      <w:r>
        <w:rPr>
          <w:rFonts w:hint="eastAsia"/>
          <w:sz w:val="28"/>
          <w:szCs w:val="36"/>
        </w:rPr>
        <w:t>指导各级各类学校的思想政治工作、德育工作、体育卫生</w:t>
      </w:r>
      <w:r>
        <w:rPr>
          <w:rFonts w:hint="eastAsia"/>
          <w:sz w:val="28"/>
          <w:szCs w:val="36"/>
        </w:rPr>
        <w:lastRenderedPageBreak/>
        <w:t>与美育工作、国防教育工作。</w:t>
      </w:r>
    </w:p>
    <w:p w:rsidR="003931C6" w:rsidRDefault="003C5653">
      <w:pPr>
        <w:rPr>
          <w:sz w:val="28"/>
          <w:szCs w:val="36"/>
        </w:rPr>
      </w:pPr>
      <w:r>
        <w:rPr>
          <w:rFonts w:hint="eastAsia"/>
          <w:sz w:val="28"/>
          <w:szCs w:val="36"/>
        </w:rPr>
        <w:t xml:space="preserve">  </w:t>
      </w:r>
      <w:r>
        <w:rPr>
          <w:rFonts w:hint="eastAsia"/>
          <w:sz w:val="28"/>
          <w:szCs w:val="36"/>
        </w:rPr>
        <w:t>（八）、管理全区学历教育及其考试工作；贯彻执行国家有关学校招生和毕业生就业的方针；研究制定我区基础教育招生计划；实施自学考试工作，扫除青壮年文盲工作及相关的学籍管理工作。</w:t>
      </w:r>
    </w:p>
    <w:p w:rsidR="003931C6" w:rsidRDefault="003C5653">
      <w:pPr>
        <w:rPr>
          <w:sz w:val="28"/>
          <w:szCs w:val="36"/>
        </w:rPr>
      </w:pPr>
      <w:r>
        <w:rPr>
          <w:rFonts w:hint="eastAsia"/>
          <w:sz w:val="28"/>
          <w:szCs w:val="36"/>
        </w:rPr>
        <w:t xml:space="preserve">  </w:t>
      </w:r>
      <w:r>
        <w:rPr>
          <w:rFonts w:hint="eastAsia"/>
          <w:sz w:val="28"/>
          <w:szCs w:val="36"/>
        </w:rPr>
        <w:t>（九）、拟定全区教育的校舍、住宅建设及工作的规划和年度计划，搞好资金分配及拨款；落实校园校舍管理法；负责全区学校的勤工俭学工作。</w:t>
      </w:r>
    </w:p>
    <w:p w:rsidR="003931C6" w:rsidRDefault="003C5653">
      <w:pPr>
        <w:ind w:firstLineChars="200" w:firstLine="640"/>
        <w:rPr>
          <w:rFonts w:ascii="黑体" w:eastAsia="黑体" w:hAnsi="黑体"/>
          <w:sz w:val="32"/>
        </w:rPr>
      </w:pPr>
      <w:r>
        <w:rPr>
          <w:rFonts w:ascii="黑体" w:eastAsia="黑体" w:hAnsi="黑体" w:hint="eastAsia"/>
          <w:sz w:val="32"/>
        </w:rPr>
        <w:t>二、机构设置及部门预算单位构成</w:t>
      </w:r>
    </w:p>
    <w:p w:rsidR="00CA668E" w:rsidRDefault="003C5653">
      <w:pPr>
        <w:ind w:firstLineChars="200" w:firstLine="640"/>
        <w:rPr>
          <w:rFonts w:ascii="仿宋_GB2312" w:eastAsia="仿宋_GB2312"/>
          <w:sz w:val="32"/>
          <w:szCs w:val="32"/>
        </w:rPr>
      </w:pPr>
      <w:r>
        <w:rPr>
          <w:rFonts w:ascii="仿宋" w:eastAsia="仿宋" w:hAnsi="仿宋" w:hint="eastAsia"/>
          <w:sz w:val="32"/>
        </w:rPr>
        <w:t>根据上述职责，</w:t>
      </w:r>
      <w:r>
        <w:rPr>
          <w:rFonts w:ascii="仿宋" w:eastAsia="仿宋" w:hAnsi="仿宋" w:hint="eastAsia"/>
          <w:sz w:val="32"/>
          <w:szCs w:val="30"/>
        </w:rPr>
        <w:t>长春市二道区教育局</w:t>
      </w:r>
      <w:r w:rsidR="00CA668E" w:rsidRPr="00CA668E">
        <w:rPr>
          <w:rFonts w:ascii="仿宋_GB2312" w:eastAsia="仿宋_GB2312" w:hAnsi="黑体" w:hint="eastAsia"/>
          <w:sz w:val="32"/>
        </w:rPr>
        <w:t>机构设置及部门预算单位构成</w:t>
      </w:r>
      <w:r w:rsidR="00CA668E">
        <w:rPr>
          <w:rFonts w:ascii="仿宋_GB2312" w:eastAsia="仿宋_GB2312" w:hAnsi="黑体" w:hint="eastAsia"/>
          <w:sz w:val="32"/>
        </w:rPr>
        <w:t>为</w:t>
      </w:r>
      <w:r>
        <w:rPr>
          <w:rFonts w:ascii="仿宋" w:eastAsia="仿宋" w:hAnsi="仿宋" w:hint="eastAsia"/>
          <w:sz w:val="32"/>
        </w:rPr>
        <w:t>内设</w:t>
      </w:r>
      <w:r w:rsidR="0017227F">
        <w:rPr>
          <w:rFonts w:ascii="仿宋" w:eastAsia="仿宋" w:hAnsi="仿宋" w:hint="eastAsia"/>
          <w:sz w:val="32"/>
          <w:szCs w:val="30"/>
        </w:rPr>
        <w:t>13</w:t>
      </w:r>
      <w:r>
        <w:rPr>
          <w:rFonts w:ascii="仿宋" w:eastAsia="仿宋" w:hAnsi="仿宋" w:hint="eastAsia"/>
          <w:sz w:val="32"/>
        </w:rPr>
        <w:t>个机构，分别为</w:t>
      </w:r>
      <w:r w:rsidRPr="00CA668E">
        <w:rPr>
          <w:rFonts w:ascii="仿宋_GB2312" w:eastAsia="仿宋_GB2312" w:hint="eastAsia"/>
          <w:sz w:val="32"/>
          <w:szCs w:val="32"/>
        </w:rPr>
        <w:t>办公室、人事科、基础教育科、督导科、德体卫、基建科、党办、</w:t>
      </w:r>
      <w:r w:rsidR="00CA668E">
        <w:rPr>
          <w:rFonts w:ascii="仿宋_GB2312" w:eastAsia="仿宋_GB2312" w:hint="eastAsia"/>
          <w:sz w:val="32"/>
          <w:szCs w:val="32"/>
        </w:rPr>
        <w:t>纪信办、</w:t>
      </w:r>
      <w:r w:rsidRPr="00CA668E">
        <w:rPr>
          <w:rFonts w:ascii="仿宋_GB2312" w:eastAsia="仿宋_GB2312" w:hint="eastAsia"/>
          <w:sz w:val="32"/>
          <w:szCs w:val="32"/>
        </w:rPr>
        <w:t>财</w:t>
      </w:r>
      <w:r w:rsidR="00CA668E">
        <w:rPr>
          <w:rFonts w:ascii="仿宋_GB2312" w:eastAsia="仿宋_GB2312" w:hint="eastAsia"/>
          <w:sz w:val="32"/>
          <w:szCs w:val="32"/>
        </w:rPr>
        <w:t>务审计</w:t>
      </w:r>
      <w:r w:rsidRPr="00CA668E">
        <w:rPr>
          <w:rFonts w:ascii="仿宋_GB2312" w:eastAsia="仿宋_GB2312" w:hint="eastAsia"/>
          <w:sz w:val="32"/>
          <w:szCs w:val="32"/>
        </w:rPr>
        <w:t>科、安全科、项目办</w:t>
      </w:r>
      <w:r w:rsidR="0017227F">
        <w:rPr>
          <w:rFonts w:ascii="仿宋_GB2312" w:eastAsia="仿宋_GB2312" w:hint="eastAsia"/>
          <w:sz w:val="32"/>
          <w:szCs w:val="32"/>
        </w:rPr>
        <w:t>、网信办、</w:t>
      </w:r>
      <w:r w:rsidR="00FF164A">
        <w:rPr>
          <w:rFonts w:ascii="仿宋_GB2312" w:eastAsia="仿宋_GB2312" w:hint="eastAsia"/>
          <w:sz w:val="32"/>
          <w:szCs w:val="32"/>
        </w:rPr>
        <w:t>学前科</w:t>
      </w:r>
      <w:r w:rsidR="00CA668E">
        <w:rPr>
          <w:rFonts w:hint="eastAsia"/>
          <w:sz w:val="28"/>
          <w:szCs w:val="36"/>
        </w:rPr>
        <w:t>。</w:t>
      </w:r>
    </w:p>
    <w:p w:rsidR="003931C6" w:rsidRDefault="003C5653" w:rsidP="00E1126E">
      <w:pPr>
        <w:ind w:firstLineChars="200" w:firstLine="640"/>
        <w:rPr>
          <w:rFonts w:ascii="仿宋" w:eastAsia="仿宋" w:hAnsi="仿宋"/>
          <w:sz w:val="32"/>
        </w:rPr>
      </w:pPr>
      <w:r>
        <w:rPr>
          <w:rFonts w:ascii="仿宋" w:eastAsia="仿宋" w:hAnsi="仿宋" w:hint="eastAsia"/>
          <w:sz w:val="32"/>
        </w:rPr>
        <w:t>纳入</w:t>
      </w:r>
      <w:r>
        <w:rPr>
          <w:rFonts w:ascii="仿宋" w:eastAsia="仿宋" w:hAnsi="仿宋" w:hint="eastAsia"/>
          <w:sz w:val="32"/>
          <w:szCs w:val="30"/>
        </w:rPr>
        <w:t>长春市二道区教育局</w:t>
      </w:r>
      <w:r>
        <w:rPr>
          <w:rFonts w:ascii="仿宋" w:eastAsia="仿宋" w:hAnsi="仿宋" w:hint="eastAsia"/>
          <w:sz w:val="32"/>
        </w:rPr>
        <w:t>20</w:t>
      </w:r>
      <w:r w:rsidR="0017227F">
        <w:rPr>
          <w:rFonts w:ascii="仿宋" w:eastAsia="仿宋" w:hAnsi="仿宋" w:hint="eastAsia"/>
          <w:sz w:val="32"/>
        </w:rPr>
        <w:t>2</w:t>
      </w:r>
      <w:r w:rsidR="00E1126E">
        <w:rPr>
          <w:rFonts w:ascii="仿宋" w:eastAsia="仿宋" w:hAnsi="仿宋" w:hint="eastAsia"/>
          <w:sz w:val="32"/>
        </w:rPr>
        <w:t>2</w:t>
      </w:r>
      <w:r>
        <w:rPr>
          <w:rFonts w:ascii="仿宋" w:eastAsia="仿宋" w:hAnsi="仿宋" w:hint="eastAsia"/>
          <w:sz w:val="32"/>
        </w:rPr>
        <w:t>年度部门</w:t>
      </w:r>
      <w:r w:rsidR="00CA668E">
        <w:rPr>
          <w:rFonts w:ascii="仿宋" w:eastAsia="仿宋" w:hAnsi="仿宋" w:hint="eastAsia"/>
          <w:sz w:val="32"/>
        </w:rPr>
        <w:t>预</w:t>
      </w:r>
      <w:r>
        <w:rPr>
          <w:rFonts w:ascii="仿宋" w:eastAsia="仿宋" w:hAnsi="仿宋" w:hint="eastAsia"/>
          <w:sz w:val="32"/>
        </w:rPr>
        <w:t>算编制范围的单位</w:t>
      </w:r>
      <w:r w:rsidR="00E1126E">
        <w:rPr>
          <w:rFonts w:ascii="仿宋" w:eastAsia="仿宋" w:hAnsi="仿宋" w:hint="eastAsia"/>
          <w:sz w:val="32"/>
        </w:rPr>
        <w:t>为</w:t>
      </w:r>
      <w:r>
        <w:rPr>
          <w:rFonts w:ascii="仿宋" w:eastAsia="仿宋" w:hAnsi="仿宋" w:hint="eastAsia"/>
          <w:sz w:val="32"/>
          <w:szCs w:val="30"/>
        </w:rPr>
        <w:t>长春市二道区教育局</w:t>
      </w:r>
      <w:r>
        <w:rPr>
          <w:rFonts w:ascii="仿宋" w:eastAsia="仿宋" w:hAnsi="仿宋" w:hint="eastAsia"/>
          <w:sz w:val="32"/>
        </w:rPr>
        <w:t>本级</w:t>
      </w:r>
      <w:r w:rsidR="00E1126E">
        <w:rPr>
          <w:rFonts w:ascii="仿宋" w:eastAsia="仿宋" w:hAnsi="仿宋" w:hint="eastAsia"/>
          <w:sz w:val="32"/>
        </w:rPr>
        <w:t>。</w:t>
      </w:r>
    </w:p>
    <w:p w:rsidR="00E1126E" w:rsidRDefault="003C5653">
      <w:pPr>
        <w:widowControl/>
        <w:spacing w:before="100" w:beforeAutospacing="1" w:after="100" w:afterAutospacing="1" w:line="360" w:lineRule="auto"/>
        <w:jc w:val="left"/>
        <w:rPr>
          <w:rFonts w:ascii="宋体" w:hAnsi="宋体" w:cs="宋体"/>
          <w:color w:val="3E3E3E"/>
          <w:kern w:val="0"/>
          <w:sz w:val="32"/>
          <w:szCs w:val="32"/>
        </w:rPr>
      </w:pPr>
      <w:r>
        <w:rPr>
          <w:rFonts w:ascii="宋体" w:hAnsi="宋体" w:cs="宋体" w:hint="eastAsia"/>
          <w:color w:val="3E3E3E"/>
          <w:kern w:val="0"/>
          <w:sz w:val="32"/>
          <w:szCs w:val="32"/>
        </w:rPr>
        <w:t xml:space="preserve">　　</w:t>
      </w:r>
    </w:p>
    <w:p w:rsidR="00E1126E" w:rsidRDefault="00E1126E">
      <w:pPr>
        <w:widowControl/>
        <w:spacing w:before="100" w:beforeAutospacing="1" w:after="100" w:afterAutospacing="1" w:line="360" w:lineRule="auto"/>
        <w:jc w:val="left"/>
        <w:rPr>
          <w:rFonts w:ascii="宋体" w:hAnsi="宋体" w:cs="宋体"/>
          <w:color w:val="3E3E3E"/>
          <w:kern w:val="0"/>
          <w:sz w:val="32"/>
          <w:szCs w:val="32"/>
        </w:rPr>
      </w:pPr>
    </w:p>
    <w:p w:rsidR="00E1126E" w:rsidRDefault="00E1126E">
      <w:pPr>
        <w:widowControl/>
        <w:spacing w:before="100" w:beforeAutospacing="1" w:after="100" w:afterAutospacing="1" w:line="360" w:lineRule="auto"/>
        <w:jc w:val="left"/>
        <w:rPr>
          <w:rFonts w:ascii="宋体" w:hAnsi="宋体" w:cs="宋体"/>
          <w:color w:val="3E3E3E"/>
          <w:kern w:val="0"/>
          <w:sz w:val="32"/>
          <w:szCs w:val="32"/>
        </w:rPr>
      </w:pPr>
    </w:p>
    <w:p w:rsidR="00E1126E" w:rsidRDefault="00E1126E">
      <w:pPr>
        <w:widowControl/>
        <w:spacing w:before="100" w:beforeAutospacing="1" w:after="100" w:afterAutospacing="1" w:line="360" w:lineRule="auto"/>
        <w:jc w:val="left"/>
        <w:rPr>
          <w:rFonts w:ascii="宋体" w:hAnsi="宋体" w:cs="宋体"/>
          <w:color w:val="3E3E3E"/>
          <w:kern w:val="0"/>
          <w:sz w:val="32"/>
          <w:szCs w:val="32"/>
        </w:rPr>
      </w:pPr>
    </w:p>
    <w:p w:rsidR="00E1126E" w:rsidRDefault="00E1126E">
      <w:pPr>
        <w:widowControl/>
        <w:spacing w:before="100" w:beforeAutospacing="1" w:after="100" w:afterAutospacing="1" w:line="360" w:lineRule="auto"/>
        <w:jc w:val="left"/>
        <w:rPr>
          <w:rFonts w:ascii="宋体" w:hAnsi="宋体" w:cs="宋体"/>
          <w:color w:val="3E3E3E"/>
          <w:kern w:val="0"/>
          <w:sz w:val="32"/>
          <w:szCs w:val="32"/>
        </w:rPr>
      </w:pPr>
    </w:p>
    <w:p w:rsidR="00E1126E" w:rsidRDefault="00E1126E">
      <w:pPr>
        <w:widowControl/>
        <w:spacing w:before="100" w:beforeAutospacing="1" w:after="100" w:afterAutospacing="1" w:line="360" w:lineRule="auto"/>
        <w:jc w:val="left"/>
        <w:rPr>
          <w:rFonts w:ascii="宋体" w:hAnsi="宋体" w:cs="宋体"/>
          <w:color w:val="3E3E3E"/>
          <w:kern w:val="0"/>
          <w:sz w:val="32"/>
          <w:szCs w:val="32"/>
        </w:rPr>
      </w:pPr>
    </w:p>
    <w:p w:rsidR="00E1126E" w:rsidRDefault="00E1126E">
      <w:pPr>
        <w:widowControl/>
        <w:spacing w:before="100" w:beforeAutospacing="1" w:after="100" w:afterAutospacing="1" w:line="360" w:lineRule="auto"/>
        <w:jc w:val="left"/>
        <w:rPr>
          <w:rFonts w:ascii="宋体" w:hAnsi="宋体" w:cs="宋体"/>
          <w:color w:val="3E3E3E"/>
          <w:kern w:val="0"/>
          <w:sz w:val="32"/>
          <w:szCs w:val="32"/>
        </w:rPr>
      </w:pPr>
    </w:p>
    <w:p w:rsidR="003931C6" w:rsidRDefault="003C5653">
      <w:pPr>
        <w:widowControl/>
        <w:spacing w:before="100" w:beforeAutospacing="1" w:after="100" w:afterAutospacing="1" w:line="360" w:lineRule="auto"/>
        <w:jc w:val="left"/>
        <w:rPr>
          <w:rFonts w:ascii="宋体" w:cs="Times New Roman"/>
          <w:color w:val="3E3E3E"/>
          <w:kern w:val="0"/>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w:t>
      </w:r>
      <w:r w:rsidR="000A0463">
        <w:rPr>
          <w:rFonts w:ascii="黑体" w:eastAsia="黑体" w:hAnsi="黑体" w:cs="黑体"/>
          <w:sz w:val="32"/>
          <w:szCs w:val="32"/>
        </w:rPr>
        <w:t>202</w:t>
      </w:r>
      <w:r w:rsidR="000A0463">
        <w:rPr>
          <w:rFonts w:ascii="黑体" w:eastAsia="黑体" w:hAnsi="黑体" w:cs="黑体" w:hint="eastAsia"/>
          <w:sz w:val="32"/>
          <w:szCs w:val="32"/>
        </w:rPr>
        <w:t>2</w:t>
      </w:r>
      <w:r>
        <w:rPr>
          <w:rFonts w:ascii="黑体" w:eastAsia="黑体" w:hAnsi="黑体" w:cs="黑体" w:hint="eastAsia"/>
          <w:sz w:val="32"/>
          <w:szCs w:val="32"/>
        </w:rPr>
        <w:t>年度部门预算表</w:t>
      </w:r>
    </w:p>
    <w:p w:rsidR="00BF480F" w:rsidRDefault="003C5653">
      <w:pPr>
        <w:widowControl/>
        <w:spacing w:before="100" w:beforeAutospacing="1" w:after="100" w:afterAutospacing="1" w:line="360" w:lineRule="auto"/>
        <w:jc w:val="left"/>
        <w:rPr>
          <w:rFonts w:ascii="宋体" w:hAnsi="宋体" w:cs="宋体" w:hint="eastAsia"/>
          <w:color w:val="3E3E3E"/>
          <w:kern w:val="0"/>
          <w:sz w:val="32"/>
          <w:szCs w:val="32"/>
        </w:rPr>
      </w:pPr>
      <w:r>
        <w:rPr>
          <w:rFonts w:ascii="宋体" w:hAnsi="宋体" w:cs="宋体" w:hint="eastAsia"/>
          <w:color w:val="3E3E3E"/>
          <w:kern w:val="0"/>
          <w:sz w:val="32"/>
          <w:szCs w:val="32"/>
        </w:rPr>
        <w:t xml:space="preserve">　附件：</w:t>
      </w:r>
    </w:p>
    <w:p w:rsidR="00EC1958" w:rsidRPr="00BF480F" w:rsidRDefault="0095410B">
      <w:pPr>
        <w:widowControl/>
        <w:spacing w:before="100" w:beforeAutospacing="1" w:after="100" w:afterAutospacing="1" w:line="360" w:lineRule="auto"/>
        <w:jc w:val="left"/>
        <w:rPr>
          <w:rFonts w:ascii="宋体" w:hAnsi="宋体" w:cs="宋体"/>
          <w:color w:val="3E3E3E"/>
          <w:kern w:val="0"/>
          <w:sz w:val="32"/>
          <w:szCs w:val="32"/>
        </w:rPr>
      </w:pPr>
      <w:hyperlink r:id="rId9" w:history="1">
        <w:r w:rsidR="003C5653">
          <w:rPr>
            <w:rFonts w:ascii="宋体" w:hAnsi="宋体" w:cs="宋体"/>
            <w:color w:val="3E3E3E"/>
            <w:kern w:val="0"/>
            <w:sz w:val="32"/>
            <w:szCs w:val="32"/>
          </w:rPr>
          <w:t>1.</w:t>
        </w:r>
        <w:r w:rsidR="000A0463">
          <w:rPr>
            <w:rFonts w:ascii="宋体" w:hAnsi="宋体" w:cs="宋体"/>
            <w:color w:val="3E3E3E"/>
            <w:kern w:val="0"/>
            <w:sz w:val="32"/>
            <w:szCs w:val="32"/>
          </w:rPr>
          <w:t>202</w:t>
        </w:r>
        <w:r w:rsidR="000A0463">
          <w:rPr>
            <w:rFonts w:ascii="宋体" w:hAnsi="宋体" w:cs="宋体" w:hint="eastAsia"/>
            <w:color w:val="3E3E3E"/>
            <w:kern w:val="0"/>
            <w:sz w:val="32"/>
            <w:szCs w:val="32"/>
          </w:rPr>
          <w:t>2</w:t>
        </w:r>
        <w:r w:rsidR="003C5653">
          <w:rPr>
            <w:rFonts w:ascii="宋体" w:hAnsi="宋体" w:cs="宋体" w:hint="eastAsia"/>
            <w:color w:val="3E3E3E"/>
            <w:kern w:val="0"/>
            <w:sz w:val="32"/>
            <w:szCs w:val="32"/>
          </w:rPr>
          <w:t>年财政拨款收支总表</w:t>
        </w:r>
      </w:hyperlink>
    </w:p>
    <w:p w:rsidR="000A0463" w:rsidRDefault="000A0463">
      <w:pPr>
        <w:widowControl/>
        <w:spacing w:before="100" w:beforeAutospacing="1" w:after="100" w:afterAutospacing="1" w:line="360" w:lineRule="auto"/>
        <w:jc w:val="left"/>
        <w:rPr>
          <w:rFonts w:ascii="宋体" w:hAnsi="宋体" w:cs="宋体"/>
          <w:noProof/>
          <w:color w:val="3E3E3E"/>
          <w:kern w:val="0"/>
          <w:sz w:val="32"/>
          <w:szCs w:val="32"/>
        </w:rPr>
      </w:pPr>
      <w:r>
        <w:rPr>
          <w:rFonts w:ascii="宋体" w:hAnsi="宋体" w:cs="宋体"/>
          <w:noProof/>
          <w:color w:val="3E3E3E"/>
          <w:kern w:val="0"/>
          <w:sz w:val="32"/>
          <w:szCs w:val="32"/>
        </w:rPr>
        <w:drawing>
          <wp:inline distT="0" distB="0" distL="0" distR="0">
            <wp:extent cx="5274310" cy="1995395"/>
            <wp:effectExtent l="1905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74310" cy="1995395"/>
                    </a:xfrm>
                    <a:prstGeom prst="rect">
                      <a:avLst/>
                    </a:prstGeom>
                    <a:noFill/>
                    <a:ln w="9525">
                      <a:noFill/>
                      <a:miter lim="800000"/>
                      <a:headEnd/>
                      <a:tailEnd/>
                    </a:ln>
                  </pic:spPr>
                </pic:pic>
              </a:graphicData>
            </a:graphic>
          </wp:inline>
        </w:drawing>
      </w:r>
    </w:p>
    <w:p w:rsidR="00045DDD" w:rsidRPr="00045DDD" w:rsidRDefault="00045DDD">
      <w:pPr>
        <w:widowControl/>
        <w:spacing w:before="100" w:beforeAutospacing="1" w:after="100" w:afterAutospacing="1" w:line="360" w:lineRule="auto"/>
        <w:jc w:val="left"/>
      </w:pPr>
    </w:p>
    <w:p w:rsidR="003931C6" w:rsidRDefault="0095410B">
      <w:pPr>
        <w:widowControl/>
        <w:spacing w:before="100" w:beforeAutospacing="1" w:after="100" w:afterAutospacing="1" w:line="360" w:lineRule="auto"/>
        <w:jc w:val="left"/>
        <w:rPr>
          <w:rFonts w:ascii="宋体" w:hAnsi="宋体" w:cs="宋体"/>
          <w:color w:val="3E3E3E"/>
          <w:kern w:val="0"/>
          <w:sz w:val="32"/>
          <w:szCs w:val="32"/>
        </w:rPr>
      </w:pPr>
      <w:hyperlink r:id="rId11" w:history="1">
        <w:r w:rsidR="003C5653">
          <w:rPr>
            <w:rFonts w:ascii="宋体" w:hAnsi="宋体" w:cs="宋体"/>
            <w:color w:val="3E3E3E"/>
            <w:kern w:val="0"/>
            <w:sz w:val="32"/>
            <w:szCs w:val="32"/>
          </w:rPr>
          <w:t>2.</w:t>
        </w:r>
        <w:r w:rsidR="00CD06E5">
          <w:rPr>
            <w:rFonts w:ascii="宋体" w:hAnsi="宋体" w:cs="宋体"/>
            <w:color w:val="3E3E3E"/>
            <w:kern w:val="0"/>
            <w:sz w:val="32"/>
            <w:szCs w:val="32"/>
          </w:rPr>
          <w:t>202</w:t>
        </w:r>
        <w:r w:rsidR="00CD06E5">
          <w:rPr>
            <w:rFonts w:ascii="宋体" w:hAnsi="宋体" w:cs="宋体" w:hint="eastAsia"/>
            <w:color w:val="3E3E3E"/>
            <w:kern w:val="0"/>
            <w:sz w:val="32"/>
            <w:szCs w:val="32"/>
          </w:rPr>
          <w:t>2</w:t>
        </w:r>
        <w:r w:rsidR="003C5653">
          <w:rPr>
            <w:rFonts w:ascii="宋体" w:hAnsi="宋体" w:cs="宋体" w:hint="eastAsia"/>
            <w:color w:val="3E3E3E"/>
            <w:kern w:val="0"/>
            <w:sz w:val="32"/>
            <w:szCs w:val="32"/>
          </w:rPr>
          <w:t>年一般公共预算预算支出表</w:t>
        </w:r>
      </w:hyperlink>
    </w:p>
    <w:p w:rsidR="003931C6" w:rsidRDefault="001E2C13">
      <w:pPr>
        <w:widowControl/>
        <w:spacing w:before="100" w:beforeAutospacing="1" w:after="100" w:afterAutospacing="1" w:line="360" w:lineRule="auto"/>
        <w:jc w:val="left"/>
        <w:rPr>
          <w:rFonts w:ascii="宋体" w:hAnsi="宋体" w:cs="宋体"/>
          <w:color w:val="3E3E3E"/>
          <w:kern w:val="0"/>
          <w:sz w:val="32"/>
          <w:szCs w:val="32"/>
        </w:rPr>
      </w:pPr>
      <w:r>
        <w:rPr>
          <w:rFonts w:ascii="宋体" w:hAnsi="宋体" w:cs="宋体"/>
          <w:noProof/>
          <w:color w:val="3E3E3E"/>
          <w:kern w:val="0"/>
          <w:sz w:val="32"/>
          <w:szCs w:val="32"/>
        </w:rPr>
        <w:drawing>
          <wp:inline distT="0" distB="0" distL="0" distR="0">
            <wp:extent cx="5274310" cy="1645164"/>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74310" cy="1645164"/>
                    </a:xfrm>
                    <a:prstGeom prst="rect">
                      <a:avLst/>
                    </a:prstGeom>
                    <a:noFill/>
                    <a:ln w="9525">
                      <a:noFill/>
                      <a:miter lim="800000"/>
                      <a:headEnd/>
                      <a:tailEnd/>
                    </a:ln>
                  </pic:spPr>
                </pic:pic>
              </a:graphicData>
            </a:graphic>
          </wp:inline>
        </w:drawing>
      </w:r>
    </w:p>
    <w:p w:rsidR="003931C6" w:rsidRDefault="003931C6">
      <w:pPr>
        <w:widowControl/>
        <w:spacing w:before="100" w:beforeAutospacing="1" w:after="100" w:afterAutospacing="1" w:line="360" w:lineRule="auto"/>
        <w:jc w:val="left"/>
        <w:rPr>
          <w:rFonts w:ascii="宋体" w:hAnsi="宋体" w:cs="宋体"/>
          <w:color w:val="3E3E3E"/>
          <w:kern w:val="0"/>
          <w:sz w:val="32"/>
          <w:szCs w:val="32"/>
        </w:rPr>
      </w:pPr>
    </w:p>
    <w:p w:rsidR="003931C6" w:rsidRDefault="003C5653">
      <w:pPr>
        <w:widowControl/>
        <w:spacing w:before="100" w:beforeAutospacing="1" w:after="100" w:afterAutospacing="1" w:line="360" w:lineRule="auto"/>
        <w:jc w:val="left"/>
      </w:pPr>
      <w:r>
        <w:rPr>
          <w:rFonts w:ascii="宋体" w:hAnsi="宋体" w:cs="宋体" w:hint="eastAsia"/>
          <w:color w:val="3E3E3E"/>
          <w:kern w:val="0"/>
          <w:sz w:val="32"/>
          <w:szCs w:val="32"/>
        </w:rPr>
        <w:lastRenderedPageBreak/>
        <w:t xml:space="preserve">　</w:t>
      </w:r>
      <w:hyperlink r:id="rId13" w:history="1">
        <w:r>
          <w:rPr>
            <w:rFonts w:ascii="宋体" w:hAnsi="宋体" w:cs="宋体"/>
            <w:color w:val="3E3E3E"/>
            <w:kern w:val="0"/>
            <w:sz w:val="32"/>
            <w:szCs w:val="32"/>
          </w:rPr>
          <w:t>3.</w:t>
        </w:r>
        <w:r w:rsidR="00CD06E5">
          <w:rPr>
            <w:rFonts w:ascii="宋体" w:hAnsi="宋体" w:cs="宋体"/>
            <w:color w:val="3E3E3E"/>
            <w:kern w:val="0"/>
            <w:sz w:val="32"/>
            <w:szCs w:val="32"/>
          </w:rPr>
          <w:t>202</w:t>
        </w:r>
        <w:r w:rsidR="00CD06E5">
          <w:rPr>
            <w:rFonts w:ascii="宋体" w:hAnsi="宋体" w:cs="宋体" w:hint="eastAsia"/>
            <w:color w:val="3E3E3E"/>
            <w:kern w:val="0"/>
            <w:sz w:val="32"/>
            <w:szCs w:val="32"/>
          </w:rPr>
          <w:t>2</w:t>
        </w:r>
        <w:r>
          <w:rPr>
            <w:rFonts w:ascii="宋体" w:hAnsi="宋体" w:cs="宋体" w:hint="eastAsia"/>
            <w:color w:val="3E3E3E"/>
            <w:kern w:val="0"/>
            <w:sz w:val="32"/>
            <w:szCs w:val="32"/>
          </w:rPr>
          <w:t>年一般公共预算部门基本支出表</w:t>
        </w:r>
      </w:hyperlink>
    </w:p>
    <w:p w:rsidR="00045DDD" w:rsidRPr="0017227F" w:rsidRDefault="00CD06E5">
      <w:pPr>
        <w:widowControl/>
        <w:spacing w:before="100" w:beforeAutospacing="1" w:after="100" w:afterAutospacing="1" w:line="360" w:lineRule="auto"/>
        <w:jc w:val="left"/>
        <w:rPr>
          <w:rFonts w:ascii="宋体" w:cs="Times New Roman"/>
          <w:color w:val="3E3E3E"/>
          <w:kern w:val="0"/>
          <w:sz w:val="32"/>
          <w:szCs w:val="32"/>
        </w:rPr>
      </w:pPr>
      <w:r>
        <w:rPr>
          <w:rFonts w:ascii="宋体" w:cs="Times New Roman"/>
          <w:noProof/>
          <w:color w:val="3E3E3E"/>
          <w:kern w:val="0"/>
          <w:sz w:val="32"/>
          <w:szCs w:val="32"/>
        </w:rPr>
        <w:drawing>
          <wp:inline distT="0" distB="0" distL="0" distR="0">
            <wp:extent cx="5274310" cy="3415238"/>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274310" cy="3415238"/>
                    </a:xfrm>
                    <a:prstGeom prst="rect">
                      <a:avLst/>
                    </a:prstGeom>
                    <a:noFill/>
                    <a:ln w="9525">
                      <a:noFill/>
                      <a:miter lim="800000"/>
                      <a:headEnd/>
                      <a:tailEnd/>
                    </a:ln>
                  </pic:spPr>
                </pic:pic>
              </a:graphicData>
            </a:graphic>
          </wp:inline>
        </w:drawing>
      </w:r>
    </w:p>
    <w:p w:rsidR="003931C6" w:rsidRDefault="0095410B">
      <w:pPr>
        <w:widowControl/>
        <w:spacing w:before="100" w:beforeAutospacing="1" w:after="100" w:afterAutospacing="1" w:line="360" w:lineRule="auto"/>
        <w:jc w:val="left"/>
        <w:rPr>
          <w:rFonts w:ascii="宋体" w:cs="Times New Roman"/>
          <w:color w:val="3E3E3E"/>
          <w:kern w:val="0"/>
          <w:sz w:val="32"/>
          <w:szCs w:val="32"/>
        </w:rPr>
      </w:pPr>
      <w:hyperlink r:id="rId15" w:history="1">
        <w:r w:rsidR="003C5653">
          <w:rPr>
            <w:rFonts w:ascii="宋体" w:hAnsi="宋体" w:cs="宋体"/>
            <w:color w:val="3E3E3E"/>
            <w:kern w:val="0"/>
            <w:sz w:val="32"/>
            <w:szCs w:val="32"/>
          </w:rPr>
          <w:t>4.</w:t>
        </w:r>
        <w:r w:rsidR="00CD06E5">
          <w:rPr>
            <w:rFonts w:ascii="宋体" w:hAnsi="宋体" w:cs="宋体"/>
            <w:color w:val="3E3E3E"/>
            <w:kern w:val="0"/>
            <w:sz w:val="32"/>
            <w:szCs w:val="32"/>
          </w:rPr>
          <w:t>202</w:t>
        </w:r>
        <w:r w:rsidR="00CD06E5">
          <w:rPr>
            <w:rFonts w:ascii="宋体" w:hAnsi="宋体" w:cs="宋体" w:hint="eastAsia"/>
            <w:color w:val="3E3E3E"/>
            <w:kern w:val="0"/>
            <w:sz w:val="32"/>
            <w:szCs w:val="32"/>
          </w:rPr>
          <w:t>2</w:t>
        </w:r>
        <w:r w:rsidR="003C5653">
          <w:rPr>
            <w:rFonts w:ascii="宋体" w:hAnsi="宋体" w:cs="宋体" w:hint="eastAsia"/>
            <w:color w:val="3E3E3E"/>
            <w:kern w:val="0"/>
            <w:sz w:val="32"/>
            <w:szCs w:val="32"/>
          </w:rPr>
          <w:t>年预算“三公经费”支出表</w:t>
        </w:r>
      </w:hyperlink>
      <w:r w:rsidR="00CD06E5">
        <w:rPr>
          <w:noProof/>
        </w:rPr>
        <w:drawing>
          <wp:inline distT="0" distB="0" distL="0" distR="0">
            <wp:extent cx="5274310" cy="4161412"/>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274310" cy="4161412"/>
                    </a:xfrm>
                    <a:prstGeom prst="rect">
                      <a:avLst/>
                    </a:prstGeom>
                    <a:noFill/>
                    <a:ln w="9525">
                      <a:noFill/>
                      <a:miter lim="800000"/>
                      <a:headEnd/>
                      <a:tailEnd/>
                    </a:ln>
                  </pic:spPr>
                </pic:pic>
              </a:graphicData>
            </a:graphic>
          </wp:inline>
        </w:drawing>
      </w:r>
    </w:p>
    <w:p w:rsidR="003931C6" w:rsidRDefault="003931C6">
      <w:pPr>
        <w:widowControl/>
        <w:spacing w:before="100" w:beforeAutospacing="1" w:after="100" w:afterAutospacing="1" w:line="360" w:lineRule="auto"/>
        <w:jc w:val="left"/>
        <w:rPr>
          <w:rFonts w:ascii="宋体" w:cs="Times New Roman"/>
          <w:color w:val="3E3E3E"/>
          <w:kern w:val="0"/>
          <w:sz w:val="32"/>
          <w:szCs w:val="32"/>
        </w:rPr>
      </w:pPr>
    </w:p>
    <w:p w:rsidR="003931C6" w:rsidRDefault="0095410B">
      <w:pPr>
        <w:widowControl/>
        <w:spacing w:before="100" w:beforeAutospacing="1" w:after="100" w:afterAutospacing="1" w:line="360" w:lineRule="auto"/>
        <w:jc w:val="left"/>
        <w:rPr>
          <w:rFonts w:ascii="宋体" w:cs="Times New Roman"/>
          <w:color w:val="3E3E3E"/>
          <w:kern w:val="0"/>
          <w:sz w:val="32"/>
          <w:szCs w:val="32"/>
        </w:rPr>
      </w:pPr>
      <w:hyperlink r:id="rId17" w:history="1">
        <w:r w:rsidR="003C5653">
          <w:rPr>
            <w:rFonts w:ascii="宋体" w:hAnsi="宋体" w:cs="宋体"/>
            <w:color w:val="3E3E3E"/>
            <w:kern w:val="0"/>
            <w:sz w:val="32"/>
            <w:szCs w:val="32"/>
          </w:rPr>
          <w:t>5.</w:t>
        </w:r>
        <w:r w:rsidR="00CD06E5">
          <w:rPr>
            <w:rFonts w:ascii="宋体" w:hAnsi="宋体" w:cs="宋体"/>
            <w:color w:val="3E3E3E"/>
            <w:kern w:val="0"/>
            <w:sz w:val="32"/>
            <w:szCs w:val="32"/>
          </w:rPr>
          <w:t>202</w:t>
        </w:r>
        <w:r w:rsidR="00CD06E5">
          <w:rPr>
            <w:rFonts w:ascii="宋体" w:hAnsi="宋体" w:cs="宋体" w:hint="eastAsia"/>
            <w:color w:val="3E3E3E"/>
            <w:kern w:val="0"/>
            <w:sz w:val="32"/>
            <w:szCs w:val="32"/>
          </w:rPr>
          <w:t>2</w:t>
        </w:r>
        <w:r w:rsidR="003C5653">
          <w:rPr>
            <w:rFonts w:ascii="宋体" w:hAnsi="宋体" w:cs="宋体" w:hint="eastAsia"/>
            <w:color w:val="3E3E3E"/>
            <w:kern w:val="0"/>
            <w:sz w:val="32"/>
            <w:szCs w:val="32"/>
          </w:rPr>
          <w:t>年预算基金支出表</w:t>
        </w:r>
      </w:hyperlink>
    </w:p>
    <w:p w:rsidR="003931C6" w:rsidRDefault="00125357">
      <w:pPr>
        <w:widowControl/>
        <w:spacing w:before="100" w:beforeAutospacing="1" w:after="100" w:afterAutospacing="1" w:line="360" w:lineRule="auto"/>
        <w:jc w:val="left"/>
        <w:rPr>
          <w:rFonts w:ascii="宋体" w:cs="Times New Roman"/>
          <w:color w:val="3E3E3E"/>
          <w:kern w:val="0"/>
          <w:sz w:val="32"/>
          <w:szCs w:val="32"/>
        </w:rPr>
      </w:pPr>
      <w:r>
        <w:rPr>
          <w:rFonts w:ascii="宋体" w:cs="Times New Roman"/>
          <w:noProof/>
          <w:color w:val="3E3E3E"/>
          <w:kern w:val="0"/>
          <w:sz w:val="32"/>
          <w:szCs w:val="32"/>
        </w:rPr>
        <w:drawing>
          <wp:inline distT="0" distB="0" distL="0" distR="0">
            <wp:extent cx="5274310" cy="2735546"/>
            <wp:effectExtent l="19050" t="0" r="2540" b="0"/>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5274310" cy="2735546"/>
                    </a:xfrm>
                    <a:prstGeom prst="rect">
                      <a:avLst/>
                    </a:prstGeom>
                    <a:noFill/>
                    <a:ln w="9525">
                      <a:noFill/>
                      <a:miter lim="800000"/>
                      <a:headEnd/>
                      <a:tailEnd/>
                    </a:ln>
                  </pic:spPr>
                </pic:pic>
              </a:graphicData>
            </a:graphic>
          </wp:inline>
        </w:drawing>
      </w:r>
    </w:p>
    <w:p w:rsidR="003931C6" w:rsidRDefault="003931C6">
      <w:pPr>
        <w:widowControl/>
        <w:spacing w:before="100" w:beforeAutospacing="1" w:after="100" w:afterAutospacing="1" w:line="360" w:lineRule="auto"/>
        <w:jc w:val="left"/>
        <w:rPr>
          <w:rFonts w:ascii="宋体" w:cs="Times New Roman"/>
          <w:color w:val="3E3E3E"/>
          <w:kern w:val="0"/>
          <w:sz w:val="32"/>
          <w:szCs w:val="32"/>
        </w:rPr>
      </w:pPr>
    </w:p>
    <w:p w:rsidR="00E1126E" w:rsidRDefault="003C5653">
      <w:pPr>
        <w:widowControl/>
        <w:spacing w:before="100" w:beforeAutospacing="1" w:after="100" w:afterAutospacing="1" w:line="360" w:lineRule="auto"/>
        <w:jc w:val="left"/>
        <w:rPr>
          <w:rFonts w:ascii="宋体" w:hAnsi="宋体" w:cs="宋体"/>
          <w:color w:val="3E3E3E"/>
          <w:kern w:val="0"/>
          <w:sz w:val="32"/>
          <w:szCs w:val="32"/>
        </w:rPr>
      </w:pPr>
      <w:r>
        <w:rPr>
          <w:rFonts w:ascii="宋体" w:hAnsi="宋体" w:cs="宋体" w:hint="eastAsia"/>
          <w:color w:val="3E3E3E"/>
          <w:kern w:val="0"/>
          <w:sz w:val="32"/>
          <w:szCs w:val="32"/>
        </w:rPr>
        <w:t xml:space="preserve">　　</w:t>
      </w:r>
    </w:p>
    <w:p w:rsidR="003931C6" w:rsidRDefault="0095410B">
      <w:pPr>
        <w:widowControl/>
        <w:spacing w:before="100" w:beforeAutospacing="1" w:after="100" w:afterAutospacing="1" w:line="360" w:lineRule="auto"/>
        <w:jc w:val="left"/>
        <w:rPr>
          <w:rFonts w:ascii="宋体" w:cs="Times New Roman"/>
          <w:color w:val="3E3E3E"/>
          <w:kern w:val="0"/>
          <w:sz w:val="32"/>
          <w:szCs w:val="32"/>
        </w:rPr>
      </w:pPr>
      <w:hyperlink r:id="rId19" w:history="1">
        <w:r w:rsidR="003C5653">
          <w:rPr>
            <w:rFonts w:ascii="宋体" w:hAnsi="宋体" w:cs="宋体"/>
            <w:color w:val="3E3E3E"/>
            <w:kern w:val="0"/>
            <w:sz w:val="32"/>
            <w:szCs w:val="32"/>
          </w:rPr>
          <w:t>6.</w:t>
        </w:r>
        <w:r w:rsidR="00CD06E5">
          <w:rPr>
            <w:rFonts w:ascii="宋体" w:hAnsi="宋体" w:cs="宋体"/>
            <w:color w:val="3E3E3E"/>
            <w:kern w:val="0"/>
            <w:sz w:val="32"/>
            <w:szCs w:val="32"/>
          </w:rPr>
          <w:t>202</w:t>
        </w:r>
        <w:r w:rsidR="00CD06E5">
          <w:rPr>
            <w:rFonts w:ascii="宋体" w:hAnsi="宋体" w:cs="宋体" w:hint="eastAsia"/>
            <w:color w:val="3E3E3E"/>
            <w:kern w:val="0"/>
            <w:sz w:val="32"/>
            <w:szCs w:val="32"/>
          </w:rPr>
          <w:t>2</w:t>
        </w:r>
        <w:r w:rsidR="003C5653">
          <w:rPr>
            <w:rFonts w:ascii="宋体" w:hAnsi="宋体" w:cs="宋体" w:hint="eastAsia"/>
            <w:color w:val="3E3E3E"/>
            <w:kern w:val="0"/>
            <w:sz w:val="32"/>
            <w:szCs w:val="32"/>
          </w:rPr>
          <w:t>年预算部门收支总表</w:t>
        </w:r>
      </w:hyperlink>
    </w:p>
    <w:p w:rsidR="003931C6" w:rsidRPr="00CD06E5" w:rsidRDefault="00CD06E5">
      <w:pPr>
        <w:widowControl/>
        <w:spacing w:before="100" w:beforeAutospacing="1" w:after="100" w:afterAutospacing="1" w:line="360" w:lineRule="auto"/>
        <w:jc w:val="left"/>
        <w:rPr>
          <w:rFonts w:ascii="宋体" w:cs="Times New Roman"/>
          <w:color w:val="3E3E3E"/>
          <w:kern w:val="0"/>
          <w:sz w:val="32"/>
          <w:szCs w:val="32"/>
        </w:rPr>
      </w:pPr>
      <w:r>
        <w:rPr>
          <w:rFonts w:ascii="宋体" w:cs="Times New Roman"/>
          <w:noProof/>
          <w:color w:val="3E3E3E"/>
          <w:kern w:val="0"/>
          <w:sz w:val="32"/>
          <w:szCs w:val="32"/>
        </w:rPr>
        <w:drawing>
          <wp:inline distT="0" distB="0" distL="0" distR="0">
            <wp:extent cx="5274310" cy="3384018"/>
            <wp:effectExtent l="1905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5274310" cy="3384018"/>
                    </a:xfrm>
                    <a:prstGeom prst="rect">
                      <a:avLst/>
                    </a:prstGeom>
                    <a:noFill/>
                    <a:ln w="9525">
                      <a:noFill/>
                      <a:miter lim="800000"/>
                      <a:headEnd/>
                      <a:tailEnd/>
                    </a:ln>
                  </pic:spPr>
                </pic:pic>
              </a:graphicData>
            </a:graphic>
          </wp:inline>
        </w:drawing>
      </w:r>
      <w:hyperlink r:id="rId21" w:history="1">
        <w:r w:rsidR="003C5653">
          <w:rPr>
            <w:rFonts w:ascii="宋体" w:hAnsi="宋体" w:cs="宋体"/>
            <w:color w:val="3E3E3E"/>
            <w:kern w:val="0"/>
            <w:sz w:val="32"/>
            <w:szCs w:val="32"/>
          </w:rPr>
          <w:t>7.</w:t>
        </w:r>
        <w:r>
          <w:rPr>
            <w:rFonts w:ascii="宋体" w:hAnsi="宋体" w:cs="宋体"/>
            <w:color w:val="3E3E3E"/>
            <w:kern w:val="0"/>
            <w:sz w:val="32"/>
            <w:szCs w:val="32"/>
          </w:rPr>
          <w:t>202</w:t>
        </w:r>
        <w:r>
          <w:rPr>
            <w:rFonts w:ascii="宋体" w:hAnsi="宋体" w:cs="宋体" w:hint="eastAsia"/>
            <w:color w:val="3E3E3E"/>
            <w:kern w:val="0"/>
            <w:sz w:val="32"/>
            <w:szCs w:val="32"/>
          </w:rPr>
          <w:t>2</w:t>
        </w:r>
        <w:r w:rsidR="003C5653">
          <w:rPr>
            <w:rFonts w:ascii="宋体" w:hAnsi="宋体" w:cs="宋体" w:hint="eastAsia"/>
            <w:color w:val="3E3E3E"/>
            <w:kern w:val="0"/>
            <w:sz w:val="32"/>
            <w:szCs w:val="32"/>
          </w:rPr>
          <w:t>年部门收入总表表</w:t>
        </w:r>
      </w:hyperlink>
      <w:r w:rsidR="001E2CFE">
        <w:rPr>
          <w:noProof/>
        </w:rPr>
        <w:drawing>
          <wp:inline distT="0" distB="0" distL="0" distR="0">
            <wp:extent cx="5274310" cy="1569350"/>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5274310" cy="1569350"/>
                    </a:xfrm>
                    <a:prstGeom prst="rect">
                      <a:avLst/>
                    </a:prstGeom>
                    <a:noFill/>
                    <a:ln w="9525">
                      <a:noFill/>
                      <a:miter lim="800000"/>
                      <a:headEnd/>
                      <a:tailEnd/>
                    </a:ln>
                  </pic:spPr>
                </pic:pic>
              </a:graphicData>
            </a:graphic>
          </wp:inline>
        </w:drawing>
      </w:r>
    </w:p>
    <w:p w:rsidR="003931C6" w:rsidRDefault="003931C6">
      <w:pPr>
        <w:spacing w:line="360" w:lineRule="auto"/>
        <w:ind w:firstLine="360"/>
        <w:jc w:val="left"/>
        <w:rPr>
          <w:rFonts w:ascii="宋体" w:cs="Times New Roman"/>
          <w:color w:val="3E3E3E"/>
          <w:kern w:val="0"/>
          <w:sz w:val="32"/>
          <w:szCs w:val="32"/>
        </w:rPr>
      </w:pPr>
    </w:p>
    <w:p w:rsidR="00045DDD" w:rsidRDefault="00045DDD">
      <w:pPr>
        <w:spacing w:line="360" w:lineRule="auto"/>
        <w:ind w:firstLine="360"/>
        <w:jc w:val="left"/>
        <w:rPr>
          <w:rFonts w:ascii="宋体" w:cs="Times New Roman"/>
          <w:noProof/>
          <w:color w:val="3E3E3E"/>
          <w:kern w:val="0"/>
          <w:sz w:val="32"/>
          <w:szCs w:val="32"/>
        </w:rPr>
      </w:pPr>
    </w:p>
    <w:p w:rsidR="003931C6" w:rsidRDefault="003A05B7">
      <w:pPr>
        <w:spacing w:line="360" w:lineRule="auto"/>
        <w:ind w:firstLine="360"/>
        <w:jc w:val="left"/>
        <w:rPr>
          <w:rFonts w:ascii="宋体" w:cs="Times New Roman"/>
          <w:color w:val="3E3E3E"/>
          <w:kern w:val="0"/>
          <w:sz w:val="32"/>
          <w:szCs w:val="32"/>
        </w:rPr>
      </w:pPr>
      <w:r>
        <w:rPr>
          <w:rFonts w:ascii="宋体" w:cs="Times New Roman" w:hint="eastAsia"/>
          <w:color w:val="3E3E3E"/>
          <w:kern w:val="0"/>
          <w:sz w:val="32"/>
          <w:szCs w:val="32"/>
        </w:rPr>
        <w:t>·</w:t>
      </w:r>
      <w:hyperlink r:id="rId23" w:history="1">
        <w:r w:rsidR="003C5653">
          <w:rPr>
            <w:rFonts w:ascii="宋体" w:hAnsi="宋体" w:cs="宋体"/>
            <w:color w:val="3E3E3E"/>
            <w:kern w:val="0"/>
            <w:sz w:val="32"/>
            <w:szCs w:val="32"/>
          </w:rPr>
          <w:t>8.</w:t>
        </w:r>
        <w:r w:rsidR="00CD06E5">
          <w:rPr>
            <w:rFonts w:ascii="宋体" w:hAnsi="宋体" w:cs="宋体"/>
            <w:color w:val="3E3E3E"/>
            <w:kern w:val="0"/>
            <w:sz w:val="32"/>
            <w:szCs w:val="32"/>
          </w:rPr>
          <w:t>202</w:t>
        </w:r>
        <w:r w:rsidR="00CD06E5">
          <w:rPr>
            <w:rFonts w:ascii="宋体" w:hAnsi="宋体" w:cs="宋体" w:hint="eastAsia"/>
            <w:color w:val="3E3E3E"/>
            <w:kern w:val="0"/>
            <w:sz w:val="32"/>
            <w:szCs w:val="32"/>
          </w:rPr>
          <w:t>2</w:t>
        </w:r>
        <w:r w:rsidR="003C5653">
          <w:rPr>
            <w:rFonts w:ascii="宋体" w:hAnsi="宋体" w:cs="宋体" w:hint="eastAsia"/>
            <w:color w:val="3E3E3E"/>
            <w:kern w:val="0"/>
            <w:sz w:val="32"/>
            <w:szCs w:val="32"/>
          </w:rPr>
          <w:t>部门支出总表表</w:t>
        </w:r>
      </w:hyperlink>
    </w:p>
    <w:p w:rsidR="00EC1958" w:rsidRDefault="00CD06E5">
      <w:pPr>
        <w:widowControl/>
        <w:spacing w:before="100" w:beforeAutospacing="1" w:after="100" w:afterAutospacing="1" w:line="360" w:lineRule="auto"/>
        <w:jc w:val="left"/>
        <w:rPr>
          <w:rFonts w:ascii="黑体" w:eastAsia="黑体" w:hAnsi="黑体" w:cs="黑体"/>
          <w:sz w:val="32"/>
          <w:szCs w:val="32"/>
        </w:rPr>
      </w:pPr>
      <w:r>
        <w:rPr>
          <w:rFonts w:ascii="黑体" w:eastAsia="黑体" w:hAnsi="黑体" w:cs="黑体"/>
          <w:noProof/>
          <w:sz w:val="32"/>
          <w:szCs w:val="32"/>
        </w:rPr>
        <w:lastRenderedPageBreak/>
        <w:drawing>
          <wp:inline distT="0" distB="0" distL="0" distR="0">
            <wp:extent cx="5274310" cy="2521023"/>
            <wp:effectExtent l="19050" t="0" r="2540" b="0"/>
            <wp:docPr id="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srcRect/>
                    <a:stretch>
                      <a:fillRect/>
                    </a:stretch>
                  </pic:blipFill>
                  <pic:spPr bwMode="auto">
                    <a:xfrm>
                      <a:off x="0" y="0"/>
                      <a:ext cx="5274310" cy="2521023"/>
                    </a:xfrm>
                    <a:prstGeom prst="rect">
                      <a:avLst/>
                    </a:prstGeom>
                    <a:noFill/>
                    <a:ln w="9525">
                      <a:noFill/>
                      <a:miter lim="800000"/>
                      <a:headEnd/>
                      <a:tailEnd/>
                    </a:ln>
                  </pic:spPr>
                </pic:pic>
              </a:graphicData>
            </a:graphic>
          </wp:inline>
        </w:drawing>
      </w:r>
    </w:p>
    <w:p w:rsidR="00CD06E5" w:rsidRDefault="00CD06E5">
      <w:pPr>
        <w:widowControl/>
        <w:spacing w:before="100" w:beforeAutospacing="1" w:after="100" w:afterAutospacing="1" w:line="360" w:lineRule="auto"/>
        <w:jc w:val="left"/>
        <w:rPr>
          <w:rFonts w:ascii="黑体" w:eastAsia="黑体" w:hAnsi="黑体" w:cs="黑体"/>
          <w:sz w:val="32"/>
          <w:szCs w:val="32"/>
        </w:rPr>
      </w:pPr>
    </w:p>
    <w:p w:rsidR="00CD06E5" w:rsidRDefault="00CD06E5">
      <w:pPr>
        <w:widowControl/>
        <w:spacing w:before="100" w:beforeAutospacing="1" w:after="100" w:afterAutospacing="1" w:line="360" w:lineRule="auto"/>
        <w:jc w:val="left"/>
        <w:rPr>
          <w:rFonts w:ascii="黑体" w:eastAsia="黑体" w:hAnsi="黑体" w:cs="黑体"/>
          <w:sz w:val="32"/>
          <w:szCs w:val="32"/>
        </w:rPr>
      </w:pPr>
    </w:p>
    <w:p w:rsidR="00CD06E5" w:rsidRDefault="00CD06E5">
      <w:pPr>
        <w:widowControl/>
        <w:spacing w:before="100" w:beforeAutospacing="1" w:after="100" w:afterAutospacing="1" w:line="360" w:lineRule="auto"/>
        <w:jc w:val="left"/>
        <w:rPr>
          <w:rFonts w:ascii="黑体" w:eastAsia="黑体" w:hAnsi="黑体" w:cs="黑体"/>
          <w:sz w:val="32"/>
          <w:szCs w:val="32"/>
        </w:rPr>
      </w:pPr>
    </w:p>
    <w:p w:rsidR="00CD06E5" w:rsidRDefault="00CD06E5">
      <w:pPr>
        <w:widowControl/>
        <w:spacing w:before="100" w:beforeAutospacing="1" w:after="100" w:afterAutospacing="1" w:line="360" w:lineRule="auto"/>
        <w:jc w:val="left"/>
        <w:rPr>
          <w:rFonts w:ascii="黑体" w:eastAsia="黑体" w:hAnsi="黑体" w:cs="黑体"/>
          <w:sz w:val="32"/>
          <w:szCs w:val="32"/>
        </w:rPr>
      </w:pPr>
    </w:p>
    <w:p w:rsidR="00CD06E5" w:rsidRDefault="00CD06E5">
      <w:pPr>
        <w:widowControl/>
        <w:spacing w:before="100" w:beforeAutospacing="1" w:after="100" w:afterAutospacing="1" w:line="360" w:lineRule="auto"/>
        <w:jc w:val="left"/>
        <w:rPr>
          <w:rFonts w:ascii="黑体" w:eastAsia="黑体" w:hAnsi="黑体" w:cs="黑体"/>
          <w:sz w:val="32"/>
          <w:szCs w:val="32"/>
        </w:rPr>
      </w:pPr>
    </w:p>
    <w:p w:rsidR="00CD06E5" w:rsidRDefault="00CD06E5">
      <w:pPr>
        <w:widowControl/>
        <w:spacing w:before="100" w:beforeAutospacing="1" w:after="100" w:afterAutospacing="1" w:line="360" w:lineRule="auto"/>
        <w:jc w:val="left"/>
        <w:rPr>
          <w:rFonts w:ascii="黑体" w:eastAsia="黑体" w:hAnsi="黑体" w:cs="黑体"/>
          <w:sz w:val="32"/>
          <w:szCs w:val="32"/>
        </w:rPr>
      </w:pPr>
    </w:p>
    <w:p w:rsidR="00CD06E5" w:rsidRDefault="00CD06E5">
      <w:pPr>
        <w:widowControl/>
        <w:spacing w:before="100" w:beforeAutospacing="1" w:after="100" w:afterAutospacing="1" w:line="360" w:lineRule="auto"/>
        <w:jc w:val="left"/>
        <w:rPr>
          <w:rFonts w:ascii="黑体" w:eastAsia="黑体" w:hAnsi="黑体" w:cs="黑体"/>
          <w:sz w:val="32"/>
          <w:szCs w:val="32"/>
        </w:rPr>
      </w:pPr>
    </w:p>
    <w:p w:rsidR="00CD06E5" w:rsidRDefault="00CD06E5">
      <w:pPr>
        <w:widowControl/>
        <w:spacing w:before="100" w:beforeAutospacing="1" w:after="100" w:afterAutospacing="1" w:line="360" w:lineRule="auto"/>
        <w:jc w:val="left"/>
        <w:rPr>
          <w:rFonts w:ascii="黑体" w:eastAsia="黑体" w:hAnsi="黑体" w:cs="黑体"/>
          <w:sz w:val="32"/>
          <w:szCs w:val="32"/>
        </w:rPr>
      </w:pPr>
    </w:p>
    <w:p w:rsidR="00CD06E5" w:rsidRDefault="00CD06E5">
      <w:pPr>
        <w:widowControl/>
        <w:spacing w:before="100" w:beforeAutospacing="1" w:after="100" w:afterAutospacing="1" w:line="360" w:lineRule="auto"/>
        <w:jc w:val="left"/>
        <w:rPr>
          <w:rFonts w:ascii="黑体" w:eastAsia="黑体" w:hAnsi="黑体" w:cs="黑体"/>
          <w:sz w:val="32"/>
          <w:szCs w:val="32"/>
        </w:rPr>
      </w:pPr>
    </w:p>
    <w:p w:rsidR="00CD06E5" w:rsidRDefault="003C5653" w:rsidP="00CD06E5">
      <w:pPr>
        <w:widowControl/>
        <w:spacing w:before="100" w:beforeAutospacing="1" w:after="100" w:afterAutospacing="1" w:line="360" w:lineRule="auto"/>
        <w:jc w:val="left"/>
        <w:rPr>
          <w:rFonts w:ascii="宋体" w:cs="Times New Roman"/>
          <w:b/>
          <w:bCs/>
          <w:color w:val="3E3E3E"/>
          <w:kern w:val="0"/>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w:t>
      </w:r>
      <w:r w:rsidR="00CD06E5">
        <w:rPr>
          <w:rFonts w:ascii="黑体" w:eastAsia="黑体" w:hAnsi="黑体" w:cs="黑体"/>
          <w:sz w:val="32"/>
          <w:szCs w:val="32"/>
        </w:rPr>
        <w:t>202</w:t>
      </w:r>
      <w:r w:rsidR="00CD06E5">
        <w:rPr>
          <w:rFonts w:ascii="黑体" w:eastAsia="黑体" w:hAnsi="黑体" w:cs="黑体" w:hint="eastAsia"/>
          <w:sz w:val="32"/>
          <w:szCs w:val="32"/>
        </w:rPr>
        <w:t>2</w:t>
      </w:r>
      <w:r>
        <w:rPr>
          <w:rFonts w:ascii="黑体" w:eastAsia="黑体" w:hAnsi="黑体" w:cs="黑体" w:hint="eastAsia"/>
          <w:sz w:val="32"/>
          <w:szCs w:val="32"/>
        </w:rPr>
        <w:t>年度部门预算情况说明</w:t>
      </w:r>
    </w:p>
    <w:p w:rsidR="003931C6" w:rsidRDefault="003C5653" w:rsidP="00CD06E5">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一、</w:t>
      </w:r>
      <w:r w:rsidR="00ED5D48">
        <w:rPr>
          <w:rFonts w:ascii="宋体" w:hAnsi="宋体" w:cs="宋体"/>
          <w:b/>
          <w:bCs/>
          <w:color w:val="3E3E3E"/>
          <w:kern w:val="0"/>
          <w:sz w:val="32"/>
          <w:szCs w:val="32"/>
        </w:rPr>
        <w:t>202</w:t>
      </w:r>
      <w:r w:rsidR="00E1126E">
        <w:rPr>
          <w:rFonts w:ascii="宋体" w:hAnsi="宋体" w:cs="宋体" w:hint="eastAsia"/>
          <w:b/>
          <w:bCs/>
          <w:color w:val="3E3E3E"/>
          <w:kern w:val="0"/>
          <w:sz w:val="32"/>
          <w:szCs w:val="32"/>
        </w:rPr>
        <w:t>2</w:t>
      </w:r>
      <w:r>
        <w:rPr>
          <w:rFonts w:ascii="宋体" w:hAnsi="宋体" w:cs="宋体" w:hint="eastAsia"/>
          <w:b/>
          <w:bCs/>
          <w:color w:val="3E3E3E"/>
          <w:kern w:val="0"/>
          <w:sz w:val="32"/>
          <w:szCs w:val="32"/>
        </w:rPr>
        <w:t>年财政拨款收支说明</w:t>
      </w:r>
    </w:p>
    <w:p w:rsidR="003931C6" w:rsidRDefault="003C5653">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color w:val="3E3E3E"/>
          <w:kern w:val="0"/>
          <w:sz w:val="32"/>
          <w:szCs w:val="32"/>
        </w:rPr>
        <w:lastRenderedPageBreak/>
        <w:t xml:space="preserve">    </w:t>
      </w:r>
      <w:r w:rsidR="00ED5D48">
        <w:rPr>
          <w:rFonts w:ascii="宋体" w:hAnsi="宋体" w:cs="宋体"/>
          <w:color w:val="3E3E3E"/>
          <w:kern w:val="0"/>
          <w:sz w:val="32"/>
          <w:szCs w:val="32"/>
        </w:rPr>
        <w:t>202</w:t>
      </w:r>
      <w:r w:rsidR="00E1126E">
        <w:rPr>
          <w:rFonts w:ascii="宋体" w:hAnsi="宋体" w:cs="宋体" w:hint="eastAsia"/>
          <w:color w:val="3E3E3E"/>
          <w:kern w:val="0"/>
          <w:sz w:val="32"/>
          <w:szCs w:val="32"/>
        </w:rPr>
        <w:t>2</w:t>
      </w:r>
      <w:r>
        <w:rPr>
          <w:rFonts w:ascii="宋体" w:hAnsi="宋体" w:cs="宋体" w:hint="eastAsia"/>
          <w:color w:val="3E3E3E"/>
          <w:kern w:val="0"/>
          <w:sz w:val="32"/>
          <w:szCs w:val="32"/>
        </w:rPr>
        <w:t>年财政拨款</w:t>
      </w:r>
      <w:r w:rsidR="00CD06E5">
        <w:rPr>
          <w:rFonts w:ascii="宋体" w:hAnsi="宋体" w:cs="宋体" w:hint="eastAsia"/>
          <w:color w:val="3E3E3E"/>
          <w:kern w:val="0"/>
          <w:sz w:val="32"/>
          <w:szCs w:val="32"/>
        </w:rPr>
        <w:t>7976.33</w:t>
      </w:r>
      <w:r w:rsidR="00051490">
        <w:rPr>
          <w:rFonts w:ascii="宋体" w:hAnsi="宋体" w:cs="宋体" w:hint="eastAsia"/>
          <w:color w:val="3E3E3E"/>
          <w:kern w:val="0"/>
          <w:sz w:val="32"/>
          <w:szCs w:val="32"/>
        </w:rPr>
        <w:t>万元。</w:t>
      </w:r>
      <w:r w:rsidR="00ED5D48">
        <w:rPr>
          <w:rFonts w:ascii="宋体" w:hAnsi="宋体" w:cs="宋体"/>
          <w:color w:val="3E3E3E"/>
          <w:kern w:val="0"/>
          <w:sz w:val="32"/>
          <w:szCs w:val="32"/>
        </w:rPr>
        <w:t>202</w:t>
      </w:r>
      <w:r w:rsidR="00CD06E5">
        <w:rPr>
          <w:rFonts w:ascii="宋体" w:hAnsi="宋体" w:cs="宋体" w:hint="eastAsia"/>
          <w:color w:val="3E3E3E"/>
          <w:kern w:val="0"/>
          <w:sz w:val="32"/>
          <w:szCs w:val="32"/>
        </w:rPr>
        <w:t>2</w:t>
      </w:r>
      <w:r>
        <w:rPr>
          <w:rFonts w:ascii="宋体" w:hAnsi="宋体" w:cs="宋体" w:hint="eastAsia"/>
          <w:color w:val="3E3E3E"/>
          <w:kern w:val="0"/>
          <w:sz w:val="32"/>
          <w:szCs w:val="32"/>
        </w:rPr>
        <w:t>年财政预算支出</w:t>
      </w:r>
      <w:r w:rsidR="00CD06E5">
        <w:rPr>
          <w:rFonts w:ascii="宋体" w:hAnsi="宋体" w:cs="宋体" w:hint="eastAsia"/>
          <w:color w:val="3E3E3E"/>
          <w:kern w:val="0"/>
          <w:sz w:val="32"/>
          <w:szCs w:val="32"/>
        </w:rPr>
        <w:t>7976.33</w:t>
      </w:r>
      <w:r>
        <w:rPr>
          <w:rFonts w:ascii="宋体" w:hAnsi="宋体" w:cs="宋体" w:hint="eastAsia"/>
          <w:color w:val="3E3E3E"/>
          <w:kern w:val="0"/>
          <w:sz w:val="32"/>
          <w:szCs w:val="32"/>
        </w:rPr>
        <w:t>万元，其中，基本支出</w:t>
      </w:r>
      <w:r w:rsidR="00CD06E5">
        <w:rPr>
          <w:rFonts w:ascii="宋体" w:hAnsi="宋体" w:cs="宋体" w:hint="eastAsia"/>
          <w:color w:val="3E3E3E"/>
          <w:kern w:val="0"/>
          <w:sz w:val="32"/>
          <w:szCs w:val="32"/>
        </w:rPr>
        <w:t>989.51</w:t>
      </w:r>
      <w:r>
        <w:rPr>
          <w:rFonts w:ascii="宋体" w:hAnsi="宋体" w:cs="宋体" w:hint="eastAsia"/>
          <w:color w:val="3E3E3E"/>
          <w:kern w:val="0"/>
          <w:sz w:val="32"/>
          <w:szCs w:val="32"/>
        </w:rPr>
        <w:t>万元，项目支出</w:t>
      </w:r>
      <w:r w:rsidR="00CD06E5">
        <w:rPr>
          <w:rFonts w:ascii="宋体" w:hAnsi="宋体" w:cs="宋体" w:hint="eastAsia"/>
          <w:color w:val="3E3E3E"/>
          <w:kern w:val="0"/>
          <w:sz w:val="32"/>
          <w:szCs w:val="32"/>
        </w:rPr>
        <w:t>6986.82</w:t>
      </w:r>
      <w:r>
        <w:rPr>
          <w:rFonts w:ascii="宋体" w:hAnsi="宋体" w:cs="宋体" w:hint="eastAsia"/>
          <w:color w:val="3E3E3E"/>
          <w:kern w:val="0"/>
          <w:sz w:val="32"/>
          <w:szCs w:val="32"/>
        </w:rPr>
        <w:t>万元。</w:t>
      </w:r>
    </w:p>
    <w:p w:rsidR="003931C6" w:rsidRDefault="003C5653">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color w:val="3E3E3E"/>
          <w:kern w:val="0"/>
          <w:sz w:val="32"/>
          <w:szCs w:val="32"/>
        </w:rPr>
        <w:t xml:space="preserve">    </w:t>
      </w:r>
      <w:r>
        <w:rPr>
          <w:rFonts w:ascii="宋体" w:hAnsi="宋体" w:cs="宋体" w:hint="eastAsia"/>
          <w:color w:val="3E3E3E"/>
          <w:kern w:val="0"/>
          <w:sz w:val="32"/>
          <w:szCs w:val="32"/>
        </w:rPr>
        <w:t>二、一般公共预算支出表说明</w:t>
      </w:r>
    </w:p>
    <w:p w:rsidR="003931C6" w:rsidRDefault="003C5653">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行政运行支出</w:t>
      </w:r>
      <w:r w:rsidR="00CD06E5">
        <w:rPr>
          <w:rFonts w:ascii="宋体" w:hAnsi="宋体" w:cs="宋体" w:hint="eastAsia"/>
          <w:color w:val="3E3E3E"/>
          <w:kern w:val="0"/>
          <w:sz w:val="32"/>
          <w:szCs w:val="32"/>
        </w:rPr>
        <w:t>961.04</w:t>
      </w:r>
      <w:r>
        <w:rPr>
          <w:rFonts w:ascii="宋体" w:hAnsi="宋体" w:cs="宋体" w:hint="eastAsia"/>
          <w:color w:val="3E3E3E"/>
          <w:kern w:val="0"/>
          <w:sz w:val="32"/>
          <w:szCs w:val="32"/>
        </w:rPr>
        <w:t>万元</w:t>
      </w:r>
      <w:r>
        <w:rPr>
          <w:rFonts w:ascii="宋体" w:cs="宋体"/>
          <w:color w:val="3E3E3E"/>
          <w:kern w:val="0"/>
          <w:sz w:val="32"/>
          <w:szCs w:val="32"/>
        </w:rPr>
        <w:t>,</w:t>
      </w:r>
      <w:r w:rsidR="00885B15">
        <w:rPr>
          <w:rFonts w:ascii="宋体" w:cs="宋体" w:hint="eastAsia"/>
          <w:color w:val="3E3E3E"/>
          <w:kern w:val="0"/>
          <w:sz w:val="32"/>
          <w:szCs w:val="32"/>
        </w:rPr>
        <w:t>学前教育支出</w:t>
      </w:r>
      <w:r w:rsidR="003B6D91">
        <w:rPr>
          <w:rFonts w:ascii="宋体" w:cs="宋体" w:hint="eastAsia"/>
          <w:color w:val="3E3E3E"/>
          <w:kern w:val="0"/>
          <w:sz w:val="32"/>
          <w:szCs w:val="32"/>
        </w:rPr>
        <w:t>2364.74</w:t>
      </w:r>
      <w:r w:rsidR="00885B15">
        <w:rPr>
          <w:rFonts w:ascii="宋体" w:cs="宋体" w:hint="eastAsia"/>
          <w:color w:val="3E3E3E"/>
          <w:kern w:val="0"/>
          <w:sz w:val="32"/>
          <w:szCs w:val="32"/>
        </w:rPr>
        <w:t>万元，</w:t>
      </w:r>
      <w:r>
        <w:rPr>
          <w:rFonts w:ascii="宋体" w:hAnsi="宋体" w:cs="宋体" w:hint="eastAsia"/>
          <w:color w:val="3E3E3E"/>
          <w:kern w:val="0"/>
          <w:sz w:val="32"/>
          <w:szCs w:val="32"/>
        </w:rPr>
        <w:t>其他普通教育支出</w:t>
      </w:r>
      <w:r w:rsidR="003B6D91">
        <w:rPr>
          <w:rFonts w:ascii="宋体" w:hAnsi="宋体" w:cs="宋体" w:hint="eastAsia"/>
          <w:color w:val="3E3E3E"/>
          <w:kern w:val="0"/>
          <w:sz w:val="32"/>
          <w:szCs w:val="32"/>
        </w:rPr>
        <w:t>4650.55</w:t>
      </w:r>
      <w:r>
        <w:rPr>
          <w:rFonts w:ascii="宋体" w:hAnsi="宋体" w:cs="宋体" w:hint="eastAsia"/>
          <w:color w:val="3E3E3E"/>
          <w:kern w:val="0"/>
          <w:sz w:val="32"/>
          <w:szCs w:val="32"/>
        </w:rPr>
        <w:t>万元。</w:t>
      </w:r>
    </w:p>
    <w:p w:rsidR="003931C6" w:rsidRDefault="003C5653">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三、一般公共预算基本支出情况说明</w:t>
      </w:r>
    </w:p>
    <w:p w:rsidR="003931C6" w:rsidRDefault="003C5653">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color w:val="3E3E3E"/>
          <w:kern w:val="0"/>
          <w:sz w:val="32"/>
          <w:szCs w:val="32"/>
        </w:rPr>
        <w:t>1.</w:t>
      </w:r>
      <w:r>
        <w:rPr>
          <w:rFonts w:ascii="宋体" w:hAnsi="宋体" w:cs="宋体" w:hint="eastAsia"/>
          <w:color w:val="3E3E3E"/>
          <w:kern w:val="0"/>
          <w:sz w:val="32"/>
          <w:szCs w:val="32"/>
        </w:rPr>
        <w:t>工资福利支出</w:t>
      </w:r>
      <w:r w:rsidR="003B6D91">
        <w:rPr>
          <w:rFonts w:ascii="宋体" w:hAnsi="宋体" w:cs="宋体" w:hint="eastAsia"/>
          <w:color w:val="3E3E3E"/>
          <w:kern w:val="0"/>
          <w:sz w:val="32"/>
          <w:szCs w:val="32"/>
        </w:rPr>
        <w:t>226.36</w:t>
      </w:r>
      <w:r>
        <w:rPr>
          <w:rFonts w:ascii="宋体" w:hAnsi="宋体" w:cs="宋体" w:hint="eastAsia"/>
          <w:color w:val="3E3E3E"/>
          <w:kern w:val="0"/>
          <w:sz w:val="32"/>
          <w:szCs w:val="32"/>
        </w:rPr>
        <w:t>万元</w:t>
      </w:r>
    </w:p>
    <w:p w:rsidR="003931C6" w:rsidRDefault="003C5653">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color w:val="3E3E3E"/>
          <w:kern w:val="0"/>
          <w:sz w:val="32"/>
          <w:szCs w:val="32"/>
        </w:rPr>
        <w:t>2.</w:t>
      </w:r>
      <w:r>
        <w:rPr>
          <w:rFonts w:ascii="宋体" w:hAnsi="宋体" w:cs="宋体" w:hint="eastAsia"/>
          <w:color w:val="3E3E3E"/>
          <w:kern w:val="0"/>
          <w:sz w:val="32"/>
          <w:szCs w:val="32"/>
        </w:rPr>
        <w:t>商品和服务支出</w:t>
      </w:r>
      <w:r w:rsidR="003B6D91">
        <w:rPr>
          <w:rFonts w:ascii="宋体" w:hAnsi="宋体" w:cs="宋体" w:hint="eastAsia"/>
          <w:color w:val="3E3E3E"/>
          <w:kern w:val="0"/>
          <w:sz w:val="32"/>
          <w:szCs w:val="32"/>
        </w:rPr>
        <w:t>733.72</w:t>
      </w:r>
      <w:r>
        <w:rPr>
          <w:rFonts w:ascii="宋体" w:hAnsi="宋体" w:cs="宋体" w:hint="eastAsia"/>
          <w:color w:val="3E3E3E"/>
          <w:kern w:val="0"/>
          <w:sz w:val="32"/>
          <w:szCs w:val="32"/>
        </w:rPr>
        <w:t>万元</w:t>
      </w:r>
    </w:p>
    <w:p w:rsidR="003931C6" w:rsidRDefault="003C5653">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color w:val="3E3E3E"/>
          <w:kern w:val="0"/>
          <w:sz w:val="32"/>
          <w:szCs w:val="32"/>
        </w:rPr>
        <w:t>3.</w:t>
      </w:r>
      <w:r>
        <w:rPr>
          <w:rFonts w:ascii="宋体" w:hAnsi="宋体" w:cs="宋体" w:hint="eastAsia"/>
          <w:color w:val="3E3E3E"/>
          <w:kern w:val="0"/>
          <w:sz w:val="32"/>
          <w:szCs w:val="32"/>
        </w:rPr>
        <w:t>对个人和家庭补助支出</w:t>
      </w:r>
      <w:r w:rsidR="003B6D91">
        <w:rPr>
          <w:rFonts w:ascii="宋体" w:hAnsi="宋体" w:cs="宋体" w:hint="eastAsia"/>
          <w:color w:val="3E3E3E"/>
          <w:kern w:val="0"/>
          <w:sz w:val="32"/>
          <w:szCs w:val="32"/>
        </w:rPr>
        <w:t>29.43</w:t>
      </w:r>
      <w:r>
        <w:rPr>
          <w:rFonts w:ascii="宋体" w:hAnsi="宋体" w:cs="宋体" w:hint="eastAsia"/>
          <w:color w:val="3E3E3E"/>
          <w:kern w:val="0"/>
          <w:sz w:val="32"/>
          <w:szCs w:val="32"/>
        </w:rPr>
        <w:t>万元</w:t>
      </w:r>
    </w:p>
    <w:p w:rsidR="003931C6" w:rsidRDefault="003C5653">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共计基本支出</w:t>
      </w:r>
      <w:r w:rsidR="003B6D91">
        <w:rPr>
          <w:rFonts w:ascii="宋体" w:hAnsi="宋体" w:cs="宋体" w:hint="eastAsia"/>
          <w:color w:val="3E3E3E"/>
          <w:kern w:val="0"/>
          <w:sz w:val="32"/>
          <w:szCs w:val="32"/>
        </w:rPr>
        <w:t>989.51</w:t>
      </w:r>
      <w:r>
        <w:rPr>
          <w:rFonts w:ascii="宋体" w:hAnsi="宋体" w:cs="宋体" w:hint="eastAsia"/>
          <w:color w:val="3E3E3E"/>
          <w:kern w:val="0"/>
          <w:sz w:val="32"/>
          <w:szCs w:val="32"/>
        </w:rPr>
        <w:t>万元。</w:t>
      </w:r>
    </w:p>
    <w:p w:rsidR="003931C6" w:rsidRDefault="003C5653">
      <w:pPr>
        <w:widowControl/>
        <w:spacing w:before="100" w:beforeAutospacing="1" w:after="100" w:afterAutospacing="1" w:line="360" w:lineRule="auto"/>
        <w:ind w:firstLineChars="200" w:firstLine="640"/>
        <w:jc w:val="left"/>
        <w:rPr>
          <w:rFonts w:ascii="宋体" w:cs="Times New Roman"/>
          <w:b/>
          <w:bCs/>
          <w:color w:val="3E3E3E"/>
          <w:kern w:val="0"/>
          <w:sz w:val="32"/>
          <w:szCs w:val="32"/>
        </w:rPr>
      </w:pPr>
      <w:r>
        <w:rPr>
          <w:rFonts w:ascii="宋体" w:hAnsi="宋体" w:cs="宋体" w:hint="eastAsia"/>
          <w:color w:val="3E3E3E"/>
          <w:kern w:val="0"/>
          <w:sz w:val="32"/>
          <w:szCs w:val="32"/>
        </w:rPr>
        <w:t>四</w:t>
      </w:r>
      <w:r>
        <w:rPr>
          <w:rFonts w:ascii="宋体" w:hAnsi="宋体" w:cs="宋体" w:hint="eastAsia"/>
          <w:b/>
          <w:bCs/>
          <w:color w:val="3E3E3E"/>
          <w:kern w:val="0"/>
          <w:sz w:val="32"/>
          <w:szCs w:val="32"/>
        </w:rPr>
        <w:t>、</w:t>
      </w:r>
      <w:r w:rsidR="003B6D91">
        <w:rPr>
          <w:rFonts w:ascii="宋体" w:hAnsi="宋体" w:cs="宋体"/>
          <w:b/>
          <w:bCs/>
          <w:color w:val="3E3E3E"/>
          <w:kern w:val="0"/>
          <w:sz w:val="32"/>
          <w:szCs w:val="32"/>
        </w:rPr>
        <w:t>202</w:t>
      </w:r>
      <w:r w:rsidR="003B6D91">
        <w:rPr>
          <w:rFonts w:ascii="宋体" w:hAnsi="宋体" w:cs="宋体" w:hint="eastAsia"/>
          <w:b/>
          <w:bCs/>
          <w:color w:val="3E3E3E"/>
          <w:kern w:val="0"/>
          <w:sz w:val="32"/>
          <w:szCs w:val="32"/>
        </w:rPr>
        <w:t>2</w:t>
      </w:r>
      <w:r>
        <w:rPr>
          <w:rFonts w:ascii="宋体" w:hAnsi="宋体" w:cs="宋体" w:hint="eastAsia"/>
          <w:b/>
          <w:bCs/>
          <w:color w:val="3E3E3E"/>
          <w:kern w:val="0"/>
          <w:sz w:val="32"/>
          <w:szCs w:val="32"/>
        </w:rPr>
        <w:t>年</w:t>
      </w:r>
      <w:r>
        <w:rPr>
          <w:rFonts w:ascii="宋体" w:cs="宋体" w:hint="eastAsia"/>
          <w:b/>
          <w:bCs/>
          <w:color w:val="3E3E3E"/>
          <w:kern w:val="0"/>
          <w:sz w:val="32"/>
          <w:szCs w:val="32"/>
        </w:rPr>
        <w:t>“</w:t>
      </w:r>
      <w:r>
        <w:rPr>
          <w:rFonts w:ascii="宋体" w:hAnsi="宋体" w:cs="宋体" w:hint="eastAsia"/>
          <w:b/>
          <w:bCs/>
          <w:color w:val="3E3E3E"/>
          <w:kern w:val="0"/>
          <w:sz w:val="32"/>
          <w:szCs w:val="32"/>
        </w:rPr>
        <w:t>三公</w:t>
      </w:r>
      <w:r>
        <w:rPr>
          <w:rFonts w:ascii="宋体" w:cs="宋体" w:hint="eastAsia"/>
          <w:b/>
          <w:bCs/>
          <w:color w:val="3E3E3E"/>
          <w:kern w:val="0"/>
          <w:sz w:val="32"/>
          <w:szCs w:val="32"/>
        </w:rPr>
        <w:t>”</w:t>
      </w:r>
      <w:r>
        <w:rPr>
          <w:rFonts w:ascii="宋体" w:hAnsi="宋体" w:cs="宋体" w:hint="eastAsia"/>
          <w:b/>
          <w:bCs/>
          <w:color w:val="3E3E3E"/>
          <w:kern w:val="0"/>
          <w:sz w:val="32"/>
          <w:szCs w:val="32"/>
        </w:rPr>
        <w:t>经费预算情况说明</w:t>
      </w:r>
    </w:p>
    <w:p w:rsidR="003931C6" w:rsidRDefault="003C5653" w:rsidP="00051490">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sidR="003B6D91">
        <w:rPr>
          <w:rFonts w:ascii="宋体" w:hAnsi="宋体" w:cs="宋体"/>
          <w:color w:val="3E3E3E"/>
          <w:kern w:val="0"/>
          <w:sz w:val="32"/>
          <w:szCs w:val="32"/>
        </w:rPr>
        <w:t>202</w:t>
      </w:r>
      <w:r w:rsidR="003B6D91">
        <w:rPr>
          <w:rFonts w:ascii="宋体" w:hAnsi="宋体" w:cs="宋体" w:hint="eastAsia"/>
          <w:color w:val="3E3E3E"/>
          <w:kern w:val="0"/>
          <w:sz w:val="32"/>
          <w:szCs w:val="32"/>
        </w:rPr>
        <w:t>2</w:t>
      </w:r>
      <w:r>
        <w:rPr>
          <w:rFonts w:ascii="宋体" w:hAnsi="宋体" w:cs="宋体" w:hint="eastAsia"/>
          <w:color w:val="3E3E3E"/>
          <w:kern w:val="0"/>
          <w:sz w:val="32"/>
          <w:szCs w:val="32"/>
        </w:rPr>
        <w:t>年</w:t>
      </w:r>
      <w:r>
        <w:rPr>
          <w:rFonts w:ascii="宋体" w:cs="宋体" w:hint="eastAsia"/>
          <w:color w:val="3E3E3E"/>
          <w:kern w:val="0"/>
          <w:sz w:val="32"/>
          <w:szCs w:val="32"/>
        </w:rPr>
        <w:t>“</w:t>
      </w:r>
      <w:r>
        <w:rPr>
          <w:rFonts w:ascii="宋体" w:hAnsi="宋体" w:cs="宋体" w:hint="eastAsia"/>
          <w:color w:val="3E3E3E"/>
          <w:kern w:val="0"/>
          <w:sz w:val="32"/>
          <w:szCs w:val="32"/>
        </w:rPr>
        <w:t>三公</w:t>
      </w:r>
      <w:r>
        <w:rPr>
          <w:rFonts w:ascii="宋体" w:cs="宋体" w:hint="eastAsia"/>
          <w:color w:val="3E3E3E"/>
          <w:kern w:val="0"/>
          <w:sz w:val="32"/>
          <w:szCs w:val="32"/>
        </w:rPr>
        <w:t>”</w:t>
      </w:r>
      <w:r>
        <w:rPr>
          <w:rFonts w:ascii="宋体" w:hAnsi="宋体" w:cs="宋体" w:hint="eastAsia"/>
          <w:color w:val="3E3E3E"/>
          <w:kern w:val="0"/>
          <w:sz w:val="32"/>
          <w:szCs w:val="32"/>
        </w:rPr>
        <w:t>经费预算数</w:t>
      </w:r>
      <w:r w:rsidR="003B6D91">
        <w:rPr>
          <w:rFonts w:ascii="宋体" w:hAnsi="宋体" w:cs="宋体" w:hint="eastAsia"/>
          <w:color w:val="3E3E3E"/>
          <w:kern w:val="0"/>
          <w:sz w:val="32"/>
          <w:szCs w:val="32"/>
        </w:rPr>
        <w:t>无支出</w:t>
      </w:r>
    </w:p>
    <w:p w:rsidR="003931C6" w:rsidRDefault="003C5653">
      <w:pPr>
        <w:spacing w:line="360" w:lineRule="auto"/>
        <w:ind w:firstLine="360"/>
        <w:jc w:val="left"/>
        <w:rPr>
          <w:rFonts w:ascii="宋体" w:cs="Times New Roman"/>
          <w:color w:val="3E3E3E"/>
          <w:kern w:val="0"/>
          <w:sz w:val="32"/>
          <w:szCs w:val="32"/>
        </w:rPr>
      </w:pPr>
      <w:r>
        <w:rPr>
          <w:rFonts w:ascii="宋体" w:hAnsi="宋体" w:cs="宋体" w:hint="eastAsia"/>
          <w:color w:val="3E3E3E"/>
          <w:kern w:val="0"/>
          <w:sz w:val="32"/>
          <w:szCs w:val="32"/>
        </w:rPr>
        <w:t xml:space="preserve">　　</w:t>
      </w:r>
    </w:p>
    <w:p w:rsidR="003931C6" w:rsidRDefault="003C5653">
      <w:pPr>
        <w:autoSpaceDE w:val="0"/>
        <w:autoSpaceDN w:val="0"/>
        <w:adjustRightInd w:val="0"/>
        <w:ind w:firstLine="640"/>
        <w:rPr>
          <w:rFonts w:ascii="宋体" w:hAnsi="宋体" w:cs="宋体"/>
          <w:color w:val="3E3E3E"/>
          <w:kern w:val="0"/>
          <w:sz w:val="32"/>
          <w:szCs w:val="32"/>
        </w:rPr>
      </w:pPr>
      <w:r>
        <w:rPr>
          <w:rFonts w:ascii="宋体" w:hAnsi="宋体" w:cs="宋体" w:hint="eastAsia"/>
          <w:color w:val="3E3E3E"/>
          <w:kern w:val="0"/>
          <w:sz w:val="32"/>
          <w:szCs w:val="32"/>
        </w:rPr>
        <w:t>五、政府性基金预算说明</w:t>
      </w:r>
    </w:p>
    <w:p w:rsidR="003931C6" w:rsidRDefault="003C5653">
      <w:pPr>
        <w:autoSpaceDE w:val="0"/>
        <w:autoSpaceDN w:val="0"/>
        <w:adjustRightInd w:val="0"/>
        <w:ind w:firstLine="640"/>
        <w:rPr>
          <w:rFonts w:ascii="宋体" w:hAnsi="宋体" w:cs="宋体"/>
          <w:color w:val="3E3E3E"/>
          <w:kern w:val="0"/>
          <w:sz w:val="32"/>
          <w:szCs w:val="32"/>
        </w:rPr>
      </w:pPr>
      <w:r>
        <w:rPr>
          <w:rFonts w:ascii="宋体" w:hAnsi="宋体" w:cs="宋体" w:hint="eastAsia"/>
          <w:color w:val="3E3E3E"/>
          <w:kern w:val="0"/>
          <w:sz w:val="32"/>
          <w:szCs w:val="32"/>
        </w:rPr>
        <w:t>无政府基金预算</w:t>
      </w:r>
    </w:p>
    <w:p w:rsidR="003931C6" w:rsidRDefault="003C5653">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六、部门收支表说明</w:t>
      </w:r>
    </w:p>
    <w:p w:rsidR="003931C6" w:rsidRDefault="003C5653">
      <w:pPr>
        <w:autoSpaceDE w:val="0"/>
        <w:autoSpaceDN w:val="0"/>
        <w:adjustRightInd w:val="0"/>
        <w:ind w:firstLineChars="200" w:firstLine="640"/>
        <w:rPr>
          <w:rFonts w:ascii="宋体" w:hAnsi="宋体" w:cs="宋体"/>
          <w:color w:val="3E3E3E"/>
          <w:kern w:val="0"/>
          <w:sz w:val="32"/>
          <w:szCs w:val="32"/>
        </w:rPr>
      </w:pPr>
      <w:r>
        <w:rPr>
          <w:rFonts w:ascii="宋体" w:hAnsi="宋体" w:cs="宋体" w:hint="eastAsia"/>
          <w:color w:val="3E3E3E"/>
          <w:kern w:val="0"/>
          <w:sz w:val="32"/>
          <w:szCs w:val="32"/>
        </w:rPr>
        <w:t>教育局系统</w:t>
      </w:r>
      <w:r w:rsidR="003B6D91">
        <w:rPr>
          <w:rFonts w:ascii="宋体" w:hAnsi="宋体" w:cs="宋体"/>
          <w:color w:val="3E3E3E"/>
          <w:kern w:val="0"/>
          <w:sz w:val="32"/>
          <w:szCs w:val="32"/>
        </w:rPr>
        <w:t>202</w:t>
      </w:r>
      <w:r w:rsidR="003B6D91">
        <w:rPr>
          <w:rFonts w:ascii="宋体" w:hAnsi="宋体" w:cs="宋体" w:hint="eastAsia"/>
          <w:color w:val="3E3E3E"/>
          <w:kern w:val="0"/>
          <w:sz w:val="32"/>
          <w:szCs w:val="32"/>
        </w:rPr>
        <w:t>2</w:t>
      </w:r>
      <w:r w:rsidR="00051490">
        <w:rPr>
          <w:rFonts w:ascii="宋体" w:hAnsi="宋体" w:cs="宋体" w:hint="eastAsia"/>
          <w:color w:val="3E3E3E"/>
          <w:kern w:val="0"/>
          <w:sz w:val="32"/>
          <w:szCs w:val="32"/>
        </w:rPr>
        <w:t>年</w:t>
      </w:r>
      <w:r>
        <w:rPr>
          <w:rFonts w:ascii="宋体" w:hAnsi="宋体" w:cs="宋体" w:hint="eastAsia"/>
          <w:color w:val="3E3E3E"/>
          <w:kern w:val="0"/>
          <w:sz w:val="32"/>
          <w:szCs w:val="32"/>
        </w:rPr>
        <w:t>总收入</w:t>
      </w:r>
      <w:r w:rsidR="003B6D91">
        <w:rPr>
          <w:rFonts w:ascii="宋体" w:hAnsi="宋体" w:cs="宋体" w:hint="eastAsia"/>
          <w:color w:val="3E3E3E"/>
          <w:kern w:val="0"/>
          <w:sz w:val="32"/>
          <w:szCs w:val="32"/>
        </w:rPr>
        <w:t>7976.33</w:t>
      </w:r>
      <w:r>
        <w:rPr>
          <w:rFonts w:ascii="宋体" w:hAnsi="宋体" w:cs="宋体" w:hint="eastAsia"/>
          <w:color w:val="3E3E3E"/>
          <w:kern w:val="0"/>
          <w:sz w:val="32"/>
          <w:szCs w:val="32"/>
        </w:rPr>
        <w:t>万元，其中财政拨款</w:t>
      </w:r>
      <w:r w:rsidR="003B6D91">
        <w:rPr>
          <w:rFonts w:ascii="宋体" w:hAnsi="宋体" w:cs="宋体" w:hint="eastAsia"/>
          <w:color w:val="3E3E3E"/>
          <w:kern w:val="0"/>
          <w:sz w:val="32"/>
          <w:szCs w:val="32"/>
        </w:rPr>
        <w:lastRenderedPageBreak/>
        <w:t>7976.33</w:t>
      </w:r>
      <w:r>
        <w:rPr>
          <w:rFonts w:ascii="宋体" w:hAnsi="宋体" w:cs="宋体" w:hint="eastAsia"/>
          <w:color w:val="3E3E3E"/>
          <w:kern w:val="0"/>
          <w:sz w:val="32"/>
          <w:szCs w:val="32"/>
        </w:rPr>
        <w:t>万元。</w:t>
      </w:r>
    </w:p>
    <w:p w:rsidR="003931C6" w:rsidRDefault="003C5653">
      <w:pPr>
        <w:autoSpaceDE w:val="0"/>
        <w:autoSpaceDN w:val="0"/>
        <w:adjustRightInd w:val="0"/>
        <w:ind w:firstLineChars="200" w:firstLine="640"/>
        <w:rPr>
          <w:rFonts w:ascii="宋体" w:hAnsi="宋体" w:cs="宋体"/>
          <w:color w:val="3E3E3E"/>
          <w:kern w:val="0"/>
          <w:sz w:val="32"/>
          <w:szCs w:val="32"/>
        </w:rPr>
      </w:pPr>
      <w:r>
        <w:rPr>
          <w:rFonts w:ascii="宋体" w:hAnsi="宋体" w:cs="宋体" w:hint="eastAsia"/>
          <w:color w:val="3E3E3E"/>
          <w:kern w:val="0"/>
          <w:sz w:val="32"/>
          <w:szCs w:val="32"/>
        </w:rPr>
        <w:t>教育支出</w:t>
      </w:r>
      <w:r w:rsidR="003B6D91">
        <w:rPr>
          <w:rFonts w:ascii="宋体" w:hAnsi="宋体" w:cs="宋体" w:hint="eastAsia"/>
          <w:color w:val="3E3E3E"/>
          <w:kern w:val="0"/>
          <w:sz w:val="32"/>
          <w:szCs w:val="32"/>
        </w:rPr>
        <w:t>7976.33</w:t>
      </w:r>
      <w:r>
        <w:rPr>
          <w:rFonts w:ascii="宋体" w:hAnsi="宋体" w:cs="宋体" w:hint="eastAsia"/>
          <w:color w:val="3E3E3E"/>
          <w:kern w:val="0"/>
          <w:sz w:val="32"/>
          <w:szCs w:val="32"/>
        </w:rPr>
        <w:t>万元。</w:t>
      </w:r>
    </w:p>
    <w:p w:rsidR="003931C6" w:rsidRDefault="003C5653">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七、部门收入总表情况</w:t>
      </w:r>
    </w:p>
    <w:p w:rsidR="003931C6" w:rsidRDefault="003C5653">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教育局系统</w:t>
      </w:r>
      <w:r w:rsidR="00ED5D48">
        <w:rPr>
          <w:rFonts w:ascii="宋体" w:hAnsi="宋体" w:cs="宋体" w:hint="eastAsia"/>
          <w:color w:val="3E3E3E"/>
          <w:kern w:val="0"/>
          <w:sz w:val="32"/>
          <w:szCs w:val="32"/>
        </w:rPr>
        <w:t>202</w:t>
      </w:r>
      <w:r w:rsidR="003B6D91">
        <w:rPr>
          <w:rFonts w:ascii="宋体" w:hAnsi="宋体" w:cs="宋体" w:hint="eastAsia"/>
          <w:color w:val="3E3E3E"/>
          <w:kern w:val="0"/>
          <w:sz w:val="32"/>
          <w:szCs w:val="32"/>
        </w:rPr>
        <w:t>2</w:t>
      </w:r>
      <w:r w:rsidR="00BF480F">
        <w:rPr>
          <w:rFonts w:ascii="宋体" w:hAnsi="宋体" w:cs="宋体" w:hint="eastAsia"/>
          <w:color w:val="3E3E3E"/>
          <w:kern w:val="0"/>
          <w:sz w:val="32"/>
          <w:szCs w:val="32"/>
        </w:rPr>
        <w:t>年</w:t>
      </w:r>
      <w:r>
        <w:rPr>
          <w:rFonts w:ascii="宋体" w:hAnsi="宋体" w:cs="宋体" w:hint="eastAsia"/>
          <w:color w:val="3E3E3E"/>
          <w:kern w:val="0"/>
          <w:sz w:val="32"/>
          <w:szCs w:val="32"/>
        </w:rPr>
        <w:t>总收入</w:t>
      </w:r>
      <w:r w:rsidR="003B6D91">
        <w:rPr>
          <w:rFonts w:ascii="宋体" w:hAnsi="宋体" w:cs="宋体" w:hint="eastAsia"/>
          <w:color w:val="3E3E3E"/>
          <w:kern w:val="0"/>
          <w:sz w:val="32"/>
          <w:szCs w:val="32"/>
        </w:rPr>
        <w:t>7976.33</w:t>
      </w:r>
      <w:r>
        <w:rPr>
          <w:rFonts w:ascii="宋体" w:hAnsi="宋体" w:cs="宋体" w:hint="eastAsia"/>
          <w:color w:val="3E3E3E"/>
          <w:kern w:val="0"/>
          <w:sz w:val="32"/>
          <w:szCs w:val="32"/>
        </w:rPr>
        <w:t>万元，全部是财政拨款。八、部门支出总表情况</w:t>
      </w:r>
    </w:p>
    <w:p w:rsidR="00825B0B" w:rsidRDefault="003C5653" w:rsidP="00825B0B">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按功能分类：</w:t>
      </w:r>
      <w:r w:rsidR="00825B0B">
        <w:rPr>
          <w:rFonts w:ascii="宋体" w:hAnsi="宋体" w:cs="宋体" w:hint="eastAsia"/>
          <w:color w:val="3E3E3E"/>
          <w:kern w:val="0"/>
          <w:sz w:val="32"/>
          <w:szCs w:val="32"/>
        </w:rPr>
        <w:t>行政运行支出</w:t>
      </w:r>
      <w:r w:rsidR="003B6D91">
        <w:rPr>
          <w:rFonts w:ascii="宋体" w:hAnsi="宋体" w:cs="宋体" w:hint="eastAsia"/>
          <w:color w:val="3E3E3E"/>
          <w:kern w:val="0"/>
          <w:sz w:val="32"/>
          <w:szCs w:val="32"/>
        </w:rPr>
        <w:t>961.04</w:t>
      </w:r>
      <w:r w:rsidR="00825B0B">
        <w:rPr>
          <w:rFonts w:ascii="宋体" w:hAnsi="宋体" w:cs="宋体" w:hint="eastAsia"/>
          <w:color w:val="3E3E3E"/>
          <w:kern w:val="0"/>
          <w:sz w:val="32"/>
          <w:szCs w:val="32"/>
        </w:rPr>
        <w:t>万元</w:t>
      </w:r>
      <w:r w:rsidR="00825B0B">
        <w:rPr>
          <w:rFonts w:ascii="宋体" w:cs="宋体"/>
          <w:color w:val="3E3E3E"/>
          <w:kern w:val="0"/>
          <w:sz w:val="32"/>
          <w:szCs w:val="32"/>
        </w:rPr>
        <w:t>,</w:t>
      </w:r>
      <w:r w:rsidR="00825B0B">
        <w:rPr>
          <w:rFonts w:ascii="宋体" w:cs="宋体" w:hint="eastAsia"/>
          <w:color w:val="3E3E3E"/>
          <w:kern w:val="0"/>
          <w:sz w:val="32"/>
          <w:szCs w:val="32"/>
        </w:rPr>
        <w:t>学前教育支出</w:t>
      </w:r>
      <w:r w:rsidR="003B6D91">
        <w:rPr>
          <w:rFonts w:ascii="宋体" w:cs="宋体" w:hint="eastAsia"/>
          <w:color w:val="3E3E3E"/>
          <w:kern w:val="0"/>
          <w:sz w:val="32"/>
          <w:szCs w:val="32"/>
        </w:rPr>
        <w:t>2364.74</w:t>
      </w:r>
      <w:r w:rsidR="00825B0B">
        <w:rPr>
          <w:rFonts w:ascii="宋体" w:cs="宋体" w:hint="eastAsia"/>
          <w:color w:val="3E3E3E"/>
          <w:kern w:val="0"/>
          <w:sz w:val="32"/>
          <w:szCs w:val="32"/>
        </w:rPr>
        <w:t>万元，</w:t>
      </w:r>
      <w:r w:rsidR="00825B0B">
        <w:rPr>
          <w:rFonts w:ascii="宋体" w:hAnsi="宋体" w:cs="宋体" w:hint="eastAsia"/>
          <w:color w:val="3E3E3E"/>
          <w:kern w:val="0"/>
          <w:sz w:val="32"/>
          <w:szCs w:val="32"/>
        </w:rPr>
        <w:t>其他普通教育支出</w:t>
      </w:r>
      <w:r w:rsidR="003B6D91">
        <w:rPr>
          <w:rFonts w:ascii="宋体" w:hAnsi="宋体" w:cs="宋体" w:hint="eastAsia"/>
          <w:color w:val="3E3E3E"/>
          <w:kern w:val="0"/>
          <w:sz w:val="32"/>
          <w:szCs w:val="32"/>
        </w:rPr>
        <w:t>4650.55</w:t>
      </w:r>
      <w:r w:rsidR="00825B0B">
        <w:rPr>
          <w:rFonts w:ascii="宋体" w:hAnsi="宋体" w:cs="宋体" w:hint="eastAsia"/>
          <w:color w:val="3E3E3E"/>
          <w:kern w:val="0"/>
          <w:sz w:val="32"/>
          <w:szCs w:val="32"/>
        </w:rPr>
        <w:t>万元。</w:t>
      </w:r>
    </w:p>
    <w:p w:rsidR="003931C6" w:rsidRDefault="003C5653" w:rsidP="00825B0B">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科目分类：基本支出</w:t>
      </w:r>
      <w:r w:rsidR="003B6D91">
        <w:rPr>
          <w:rFonts w:ascii="宋体" w:hAnsi="宋体" w:cs="宋体" w:hint="eastAsia"/>
          <w:color w:val="3E3E3E"/>
          <w:kern w:val="0"/>
          <w:sz w:val="32"/>
          <w:szCs w:val="32"/>
        </w:rPr>
        <w:t>989.51</w:t>
      </w:r>
      <w:r>
        <w:rPr>
          <w:rFonts w:ascii="宋体" w:hAnsi="宋体" w:cs="宋体" w:hint="eastAsia"/>
          <w:color w:val="3E3E3E"/>
          <w:kern w:val="0"/>
          <w:sz w:val="32"/>
          <w:szCs w:val="32"/>
        </w:rPr>
        <w:t>万元，项目支出</w:t>
      </w:r>
      <w:r w:rsidR="003B6D91">
        <w:rPr>
          <w:rFonts w:ascii="宋体" w:hAnsi="宋体" w:cs="宋体" w:hint="eastAsia"/>
          <w:color w:val="3E3E3E"/>
          <w:kern w:val="0"/>
          <w:sz w:val="32"/>
          <w:szCs w:val="32"/>
        </w:rPr>
        <w:t>6986.82</w:t>
      </w:r>
      <w:r>
        <w:rPr>
          <w:rFonts w:ascii="宋体" w:hAnsi="宋体" w:cs="宋体" w:hint="eastAsia"/>
          <w:color w:val="3E3E3E"/>
          <w:kern w:val="0"/>
          <w:sz w:val="32"/>
          <w:szCs w:val="32"/>
        </w:rPr>
        <w:t>万元。</w:t>
      </w:r>
    </w:p>
    <w:p w:rsidR="003931C6" w:rsidRDefault="003C5653">
      <w:pPr>
        <w:spacing w:line="500" w:lineRule="exact"/>
        <w:ind w:firstLineChars="200" w:firstLine="640"/>
        <w:rPr>
          <w:rFonts w:ascii="宋体" w:cs="Times New Roman"/>
          <w:sz w:val="32"/>
          <w:szCs w:val="32"/>
        </w:rPr>
      </w:pPr>
      <w:r>
        <w:rPr>
          <w:rFonts w:ascii="宋体" w:hAnsi="宋体" w:cs="宋体" w:hint="eastAsia"/>
          <w:sz w:val="32"/>
          <w:szCs w:val="32"/>
        </w:rPr>
        <w:t>九、机关运行经费支出情况</w:t>
      </w:r>
    </w:p>
    <w:p w:rsidR="003931C6" w:rsidRDefault="003C5653">
      <w:pPr>
        <w:spacing w:line="500" w:lineRule="exact"/>
        <w:ind w:firstLineChars="200" w:firstLine="640"/>
        <w:rPr>
          <w:rFonts w:ascii="宋体" w:hAnsi="宋体" w:cs="宋体"/>
          <w:sz w:val="32"/>
          <w:szCs w:val="32"/>
        </w:rPr>
      </w:pPr>
      <w:r>
        <w:rPr>
          <w:rFonts w:ascii="宋体" w:hAnsi="宋体" w:cs="宋体"/>
          <w:sz w:val="32"/>
          <w:szCs w:val="32"/>
        </w:rPr>
        <w:t>20</w:t>
      </w:r>
      <w:r w:rsidR="003B6D91">
        <w:rPr>
          <w:rFonts w:ascii="宋体" w:hAnsi="宋体" w:cs="宋体" w:hint="eastAsia"/>
          <w:sz w:val="32"/>
          <w:szCs w:val="32"/>
        </w:rPr>
        <w:t>22</w:t>
      </w:r>
      <w:r>
        <w:rPr>
          <w:rFonts w:ascii="宋体" w:hAnsi="宋体" w:cs="宋体" w:hint="eastAsia"/>
          <w:sz w:val="32"/>
          <w:szCs w:val="32"/>
        </w:rPr>
        <w:t>年长春市</w:t>
      </w:r>
      <w:r w:rsidR="00051490">
        <w:rPr>
          <w:rFonts w:ascii="宋体" w:hAnsi="宋体" w:cs="宋体" w:hint="eastAsia"/>
          <w:sz w:val="32"/>
          <w:szCs w:val="32"/>
        </w:rPr>
        <w:t>二道区</w:t>
      </w:r>
      <w:r>
        <w:rPr>
          <w:rFonts w:ascii="宋体" w:hAnsi="宋体" w:cs="宋体" w:hint="eastAsia"/>
          <w:sz w:val="32"/>
          <w:szCs w:val="32"/>
        </w:rPr>
        <w:t>教育局的机关运行经费财政拨款支出</w:t>
      </w:r>
      <w:r w:rsidR="00B6206A">
        <w:rPr>
          <w:rFonts w:ascii="宋体" w:hAnsi="宋体" w:cs="宋体" w:hint="eastAsia"/>
          <w:color w:val="3E3E3E"/>
          <w:kern w:val="0"/>
          <w:sz w:val="32"/>
          <w:szCs w:val="32"/>
        </w:rPr>
        <w:t>121.56</w:t>
      </w:r>
      <w:r>
        <w:rPr>
          <w:rFonts w:ascii="宋体" w:hAnsi="宋体" w:cs="宋体" w:hint="eastAsia"/>
          <w:sz w:val="32"/>
          <w:szCs w:val="32"/>
        </w:rPr>
        <w:t>万元。</w:t>
      </w:r>
    </w:p>
    <w:p w:rsidR="003931C6" w:rsidRDefault="003C5653">
      <w:pPr>
        <w:numPr>
          <w:ilvl w:val="0"/>
          <w:numId w:val="2"/>
        </w:numPr>
        <w:spacing w:line="500" w:lineRule="exact"/>
        <w:ind w:firstLineChars="200" w:firstLine="640"/>
        <w:rPr>
          <w:rFonts w:ascii="宋体" w:hAnsi="宋体" w:cs="宋体"/>
          <w:sz w:val="32"/>
          <w:szCs w:val="32"/>
        </w:rPr>
      </w:pPr>
      <w:r>
        <w:rPr>
          <w:rFonts w:ascii="宋体" w:hAnsi="宋体" w:cs="宋体" w:hint="eastAsia"/>
          <w:sz w:val="32"/>
          <w:szCs w:val="32"/>
        </w:rPr>
        <w:t>国有资产占有情况</w:t>
      </w:r>
    </w:p>
    <w:p w:rsidR="003931C6" w:rsidRDefault="003C5653" w:rsidP="00051490">
      <w:pPr>
        <w:spacing w:line="500" w:lineRule="exact"/>
        <w:rPr>
          <w:rFonts w:ascii="宋体" w:hAnsi="宋体" w:cs="宋体"/>
          <w:sz w:val="32"/>
          <w:szCs w:val="32"/>
        </w:rPr>
      </w:pPr>
      <w:r>
        <w:rPr>
          <w:rFonts w:ascii="宋体" w:cs="Times New Roman" w:hint="eastAsia"/>
          <w:sz w:val="32"/>
          <w:szCs w:val="32"/>
        </w:rPr>
        <w:t xml:space="preserve">    </w:t>
      </w:r>
      <w:r w:rsidR="00051490">
        <w:rPr>
          <w:rFonts w:ascii="宋体" w:cs="Times New Roman" w:hint="eastAsia"/>
          <w:sz w:val="32"/>
          <w:szCs w:val="32"/>
        </w:rPr>
        <w:t>没有公务用车。</w:t>
      </w:r>
    </w:p>
    <w:p w:rsidR="003931C6" w:rsidRDefault="003C5653">
      <w:pPr>
        <w:spacing w:line="500" w:lineRule="exact"/>
        <w:ind w:firstLineChars="200" w:firstLine="640"/>
        <w:rPr>
          <w:rFonts w:ascii="宋体" w:cs="Times New Roman"/>
          <w:sz w:val="32"/>
          <w:szCs w:val="32"/>
        </w:rPr>
      </w:pPr>
      <w:r>
        <w:rPr>
          <w:rFonts w:ascii="宋体" w:hAnsi="宋体" w:cs="宋体"/>
          <w:sz w:val="32"/>
          <w:szCs w:val="32"/>
        </w:rPr>
        <w:t xml:space="preserve">   </w:t>
      </w:r>
    </w:p>
    <w:p w:rsidR="003931C6" w:rsidRDefault="003C5653">
      <w:pPr>
        <w:autoSpaceDE w:val="0"/>
        <w:autoSpaceDN w:val="0"/>
        <w:adjustRightInd w:val="0"/>
        <w:rPr>
          <w:rFonts w:ascii="宋体" w:cs="Times New Roman"/>
          <w:b/>
          <w:bCs/>
          <w:kern w:val="0"/>
          <w:sz w:val="32"/>
          <w:szCs w:val="32"/>
        </w:rPr>
      </w:pPr>
      <w:r>
        <w:rPr>
          <w:rFonts w:ascii="宋体" w:hAnsi="宋体" w:cs="宋体"/>
          <w:sz w:val="32"/>
          <w:szCs w:val="32"/>
        </w:rPr>
        <w:t xml:space="preserve">  </w:t>
      </w:r>
      <w:r>
        <w:rPr>
          <w:rFonts w:ascii="宋体" w:hAnsi="宋体" w:cs="宋体" w:hint="eastAsia"/>
          <w:b/>
          <w:bCs/>
          <w:kern w:val="0"/>
          <w:sz w:val="32"/>
          <w:szCs w:val="32"/>
        </w:rPr>
        <w:t>第四部分名词解释</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一、财政拨款收入：指中央财政当年拨付的资金。</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二、事业收入：指事业单位开展专业业务活动及辅助活动所取得的收入。</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三、事业单位经营收入：指事业单位在专业业务活动及其辅助活动之外开展非独立核算经营活动取得的收入。</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四、其他收入：指除上述“财政拨款收入”、“事业收</w:t>
      </w:r>
      <w:r>
        <w:rPr>
          <w:rFonts w:ascii="宋体" w:hAnsi="宋体" w:cs="宋体" w:hint="eastAsia"/>
          <w:kern w:val="0"/>
          <w:sz w:val="32"/>
          <w:szCs w:val="32"/>
        </w:rPr>
        <w:lastRenderedPageBreak/>
        <w:t>入”、“事业单位经营收入”等以外的收入。主要是按规定动用的售房收入、存款利息收入等。</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六、上年结转：指以前年度尚未完成，结转到本年仍按原规定用途继续使用的资金（预算中为预计数）。</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七、结转下年：指以前年度预算安排、因客观条件发生变化无法按原计划实施，需延迟到以后年度按原规定用途继续使用的资金（预算中为预计数）。</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八、基本支出：指为保障机构正常运转、完成日常工作任务而发生的人员支出和公用支出。</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九、项目支出：指在基本支出之外为完成特定行政任务和事业发展目标所发生的支出。</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十、事业单位经营支出：指事业单位在专业业务活动及其辅助活动之外开展非独立核算经营活动发生的支出。</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十一、住房公积金（科目代码</w:t>
      </w:r>
      <w:r>
        <w:rPr>
          <w:rFonts w:ascii="宋体" w:hAnsi="宋体" w:cs="宋体"/>
          <w:kern w:val="0"/>
          <w:sz w:val="32"/>
          <w:szCs w:val="32"/>
        </w:rPr>
        <w:t>2210201</w:t>
      </w:r>
      <w:r>
        <w:rPr>
          <w:rFonts w:ascii="宋体" w:hAnsi="宋体" w:cs="宋体" w:hint="eastAsia"/>
          <w:kern w:val="0"/>
          <w:sz w:val="32"/>
          <w:szCs w:val="32"/>
        </w:rPr>
        <w:t>）：指按照《住房公积金管理条例》的规定，由单位及其在职职工缴存的长期住房储金。该项政策始于上世纪九十年代中期，在全国机</w:t>
      </w:r>
      <w:r>
        <w:rPr>
          <w:rFonts w:ascii="宋体" w:hAnsi="宋体" w:cs="宋体" w:hint="eastAsia"/>
          <w:kern w:val="0"/>
          <w:sz w:val="32"/>
          <w:szCs w:val="32"/>
        </w:rPr>
        <w:lastRenderedPageBreak/>
        <w:t>关、企事业单位在职职工中普遍实施，缴存比例最低不低于</w:t>
      </w:r>
      <w:r>
        <w:rPr>
          <w:rFonts w:ascii="宋体" w:hAnsi="宋体" w:cs="宋体"/>
          <w:kern w:val="0"/>
          <w:sz w:val="32"/>
          <w:szCs w:val="32"/>
        </w:rPr>
        <w:t>5</w:t>
      </w:r>
      <w:r>
        <w:rPr>
          <w:rFonts w:ascii="宋体" w:hAnsi="宋体" w:cs="宋体" w:hint="eastAsia"/>
          <w:kern w:val="0"/>
          <w:sz w:val="32"/>
          <w:szCs w:val="32"/>
        </w:rPr>
        <w:t>％，最高不超过</w:t>
      </w:r>
      <w:r>
        <w:rPr>
          <w:rFonts w:ascii="宋体" w:hAnsi="宋体" w:cs="宋体"/>
          <w:kern w:val="0"/>
          <w:sz w:val="32"/>
          <w:szCs w:val="32"/>
        </w:rPr>
        <w:t>12</w:t>
      </w:r>
      <w:r>
        <w:rPr>
          <w:rFonts w:ascii="宋体" w:hAnsi="宋体" w:cs="宋体" w:hint="eastAsia"/>
          <w:kern w:val="0"/>
          <w:sz w:val="32"/>
          <w:szCs w:val="32"/>
        </w:rPr>
        <w:t>％，缴存基数为职工本人上年工资，目前已实施近</w:t>
      </w:r>
      <w:r>
        <w:rPr>
          <w:rFonts w:ascii="宋体" w:hAnsi="宋体" w:cs="宋体"/>
          <w:kern w:val="0"/>
          <w:sz w:val="32"/>
          <w:szCs w:val="32"/>
        </w:rPr>
        <w:t xml:space="preserve">20 </w:t>
      </w:r>
      <w:r>
        <w:rPr>
          <w:rFonts w:ascii="宋体" w:hAnsi="宋体" w:cs="宋体" w:hint="eastAsia"/>
          <w:kern w:val="0"/>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十二、提租补贴（科目代码</w:t>
      </w:r>
      <w:r>
        <w:rPr>
          <w:rFonts w:ascii="宋体" w:hAnsi="宋体" w:cs="宋体"/>
          <w:kern w:val="0"/>
          <w:sz w:val="32"/>
          <w:szCs w:val="32"/>
        </w:rPr>
        <w:t>2210202</w:t>
      </w:r>
      <w:r>
        <w:rPr>
          <w:rFonts w:ascii="宋体" w:hAnsi="宋体" w:cs="宋体" w:hint="eastAsia"/>
          <w:kern w:val="0"/>
          <w:sz w:val="32"/>
          <w:szCs w:val="32"/>
        </w:rPr>
        <w:t>）：指经国务院批准，于</w:t>
      </w:r>
      <w:r>
        <w:rPr>
          <w:rFonts w:ascii="宋体" w:hAnsi="宋体" w:cs="宋体"/>
          <w:kern w:val="0"/>
          <w:sz w:val="32"/>
          <w:szCs w:val="32"/>
        </w:rPr>
        <w:t xml:space="preserve">2000 </w:t>
      </w:r>
      <w:r>
        <w:rPr>
          <w:rFonts w:ascii="宋体" w:hAnsi="宋体" w:cs="宋体" w:hint="eastAsia"/>
          <w:kern w:val="0"/>
          <w:sz w:val="32"/>
          <w:szCs w:val="32"/>
        </w:rPr>
        <w:t>年开始针对在京中央单位公有住房租金标准提高发放的补贴，中央在京单位按照在职在编职工人数和离退休人数以及相应职级的补贴标准确定，人均月补贴</w:t>
      </w:r>
      <w:r>
        <w:rPr>
          <w:rFonts w:ascii="宋体" w:hAnsi="宋体" w:cs="宋体"/>
          <w:kern w:val="0"/>
          <w:sz w:val="32"/>
          <w:szCs w:val="32"/>
        </w:rPr>
        <w:t xml:space="preserve">90 </w:t>
      </w:r>
      <w:r>
        <w:rPr>
          <w:rFonts w:ascii="宋体" w:hAnsi="宋体" w:cs="宋体" w:hint="eastAsia"/>
          <w:kern w:val="0"/>
          <w:sz w:val="32"/>
          <w:szCs w:val="32"/>
        </w:rPr>
        <w:t>元。</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十三、购房补贴（科目代码</w:t>
      </w:r>
      <w:r>
        <w:rPr>
          <w:rFonts w:ascii="宋体" w:hAnsi="宋体" w:cs="宋体"/>
          <w:kern w:val="0"/>
          <w:sz w:val="32"/>
          <w:szCs w:val="32"/>
        </w:rPr>
        <w:t>2210203</w:t>
      </w:r>
      <w:r>
        <w:rPr>
          <w:rFonts w:ascii="宋体" w:hAnsi="宋体" w:cs="宋体" w:hint="eastAsia"/>
          <w:kern w:val="0"/>
          <w:sz w:val="32"/>
          <w:szCs w:val="32"/>
        </w:rPr>
        <w:t>）：是指根据《国务院关于进一步深化城镇住房制度改革加快住房建设的通知》（国发</w:t>
      </w:r>
      <w:r>
        <w:rPr>
          <w:rFonts w:ascii="宋体" w:hAnsi="宋体" w:cs="宋体"/>
          <w:kern w:val="0"/>
          <w:sz w:val="32"/>
          <w:szCs w:val="32"/>
        </w:rPr>
        <w:t xml:space="preserve">[1998]23 </w:t>
      </w:r>
      <w:r>
        <w:rPr>
          <w:rFonts w:ascii="宋体" w:hAnsi="宋体" w:cs="宋体" w:hint="eastAsia"/>
          <w:kern w:val="0"/>
          <w:sz w:val="32"/>
          <w:szCs w:val="32"/>
        </w:rPr>
        <w:t>号）的规定，从</w:t>
      </w:r>
      <w:r>
        <w:rPr>
          <w:rFonts w:ascii="宋体" w:hAnsi="宋体" w:cs="宋体"/>
          <w:kern w:val="0"/>
          <w:sz w:val="32"/>
          <w:szCs w:val="32"/>
        </w:rPr>
        <w:t xml:space="preserve">1998 </w:t>
      </w:r>
      <w:r>
        <w:rPr>
          <w:rFonts w:ascii="宋体" w:hAnsi="宋体" w:cs="宋体" w:hint="eastAsia"/>
          <w:kern w:val="0"/>
          <w:sz w:val="32"/>
          <w:szCs w:val="32"/>
        </w:rPr>
        <w:t>年下半年停止实物分房后，房价收入比超过</w:t>
      </w:r>
      <w:r>
        <w:rPr>
          <w:rFonts w:ascii="宋体" w:hAnsi="宋体" w:cs="宋体"/>
          <w:kern w:val="0"/>
          <w:sz w:val="32"/>
          <w:szCs w:val="32"/>
        </w:rPr>
        <w:t xml:space="preserve">4 </w:t>
      </w:r>
      <w:r>
        <w:rPr>
          <w:rFonts w:ascii="宋体" w:hAnsi="宋体" w:cs="宋体" w:hint="eastAsia"/>
          <w:kern w:val="0"/>
          <w:sz w:val="32"/>
          <w:szCs w:val="32"/>
        </w:rPr>
        <w:t>倍以上地区对无房和住房未达标职工发放的住房货币化改革补贴资金。中央行政事业单位从</w:t>
      </w:r>
      <w:r>
        <w:rPr>
          <w:rFonts w:ascii="宋体" w:hAnsi="宋体" w:cs="宋体"/>
          <w:kern w:val="0"/>
          <w:sz w:val="32"/>
          <w:szCs w:val="32"/>
        </w:rPr>
        <w:t xml:space="preserve">2000 </w:t>
      </w:r>
      <w:r>
        <w:rPr>
          <w:rFonts w:ascii="宋体" w:hAnsi="宋体" w:cs="宋体" w:hint="eastAsia"/>
          <w:kern w:val="0"/>
          <w:sz w:val="32"/>
          <w:szCs w:val="32"/>
        </w:rPr>
        <w:t>年开始发放购房补贴资金，地方行政事业单位从</w:t>
      </w:r>
      <w:r>
        <w:rPr>
          <w:rFonts w:ascii="宋体" w:hAnsi="宋体" w:cs="宋体"/>
          <w:kern w:val="0"/>
          <w:sz w:val="32"/>
          <w:szCs w:val="32"/>
        </w:rPr>
        <w:t xml:space="preserve">1999 </w:t>
      </w:r>
      <w:r>
        <w:rPr>
          <w:rFonts w:ascii="宋体" w:hAnsi="宋体" w:cs="宋体" w:hint="eastAsia"/>
          <w:kern w:val="0"/>
          <w:sz w:val="32"/>
          <w:szCs w:val="32"/>
        </w:rPr>
        <w:t>年陆续开始发放购房补贴资金，企业根据本单位情况自行确定。在京中央单位按照《中共中央办公厅国务院办公厅转发建设部等单位</w:t>
      </w:r>
      <w:r>
        <w:rPr>
          <w:rFonts w:ascii="宋体" w:hAnsi="宋体" w:cs="宋体"/>
          <w:kern w:val="0"/>
          <w:sz w:val="32"/>
          <w:szCs w:val="32"/>
        </w:rPr>
        <w:t>&lt;</w:t>
      </w:r>
      <w:r>
        <w:rPr>
          <w:rFonts w:ascii="宋体" w:hAnsi="宋体" w:cs="宋体" w:hint="eastAsia"/>
          <w:kern w:val="0"/>
          <w:sz w:val="32"/>
          <w:szCs w:val="32"/>
        </w:rPr>
        <w:t>关于完善在京中央和国家机关住房制度的若干意见</w:t>
      </w:r>
      <w:r>
        <w:rPr>
          <w:rFonts w:ascii="宋体" w:hAnsi="宋体" w:cs="宋体"/>
          <w:kern w:val="0"/>
          <w:sz w:val="32"/>
          <w:szCs w:val="32"/>
        </w:rPr>
        <w:t>&gt;</w:t>
      </w:r>
      <w:r>
        <w:rPr>
          <w:rFonts w:ascii="宋体" w:hAnsi="宋体" w:cs="宋体" w:hint="eastAsia"/>
          <w:kern w:val="0"/>
          <w:sz w:val="32"/>
          <w:szCs w:val="32"/>
        </w:rPr>
        <w:t>的通知》（厅字</w:t>
      </w:r>
      <w:r>
        <w:rPr>
          <w:rFonts w:ascii="宋体" w:hAnsi="宋体" w:cs="宋体"/>
          <w:kern w:val="0"/>
          <w:sz w:val="32"/>
          <w:szCs w:val="32"/>
        </w:rPr>
        <w:t xml:space="preserve">[2005]8 </w:t>
      </w:r>
      <w:r>
        <w:rPr>
          <w:rFonts w:ascii="宋体" w:hAnsi="宋体" w:cs="宋体" w:hint="eastAsia"/>
          <w:kern w:val="0"/>
          <w:sz w:val="32"/>
          <w:szCs w:val="32"/>
        </w:rPr>
        <w:t>号）规定的标准执</w:t>
      </w:r>
      <w:r>
        <w:rPr>
          <w:rFonts w:ascii="宋体" w:hAnsi="宋体" w:cs="宋体" w:hint="eastAsia"/>
          <w:kern w:val="0"/>
          <w:sz w:val="32"/>
          <w:szCs w:val="32"/>
        </w:rPr>
        <w:lastRenderedPageBreak/>
        <w:t>行，京外中央单位按照所在地人民政府住房分配货币化改革的政策规定和标准执行。</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十四、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931C6" w:rsidRDefault="003C5653">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ascii="宋体" w:hAnsi="宋体" w:cs="宋体" w:hint="eastAsia"/>
          <w:kern w:val="0"/>
          <w:sz w:val="32"/>
          <w:szCs w:val="32"/>
        </w:rPr>
        <w:t>十五、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3931C6" w:rsidSect="003931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CE5" w:rsidRDefault="00FE5CE5" w:rsidP="006E7029">
      <w:r>
        <w:separator/>
      </w:r>
    </w:p>
  </w:endnote>
  <w:endnote w:type="continuationSeparator" w:id="0">
    <w:p w:rsidR="00FE5CE5" w:rsidRDefault="00FE5CE5" w:rsidP="006E7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CE5" w:rsidRDefault="00FE5CE5" w:rsidP="006E7029">
      <w:r>
        <w:separator/>
      </w:r>
    </w:p>
  </w:footnote>
  <w:footnote w:type="continuationSeparator" w:id="0">
    <w:p w:rsidR="00FE5CE5" w:rsidRDefault="00FE5CE5" w:rsidP="006E70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BD330"/>
    <w:multiLevelType w:val="singleLevel"/>
    <w:tmpl w:val="583BD330"/>
    <w:lvl w:ilvl="0">
      <w:start w:val="3"/>
      <w:numFmt w:val="chineseCounting"/>
      <w:suff w:val="nothing"/>
      <w:lvlText w:val="（%1）"/>
      <w:lvlJc w:val="left"/>
    </w:lvl>
  </w:abstractNum>
  <w:abstractNum w:abstractNumId="1">
    <w:nsid w:val="586AF8C1"/>
    <w:multiLevelType w:val="singleLevel"/>
    <w:tmpl w:val="586AF8C1"/>
    <w:lvl w:ilvl="0">
      <w:start w:val="10"/>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8370"/>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C598A"/>
    <w:rsid w:val="000150E7"/>
    <w:rsid w:val="00016F38"/>
    <w:rsid w:val="0001704A"/>
    <w:rsid w:val="0002628D"/>
    <w:rsid w:val="00045DDD"/>
    <w:rsid w:val="00051490"/>
    <w:rsid w:val="00075C6E"/>
    <w:rsid w:val="000A0463"/>
    <w:rsid w:val="000A1373"/>
    <w:rsid w:val="000A1546"/>
    <w:rsid w:val="000F087E"/>
    <w:rsid w:val="00102AEA"/>
    <w:rsid w:val="00112E35"/>
    <w:rsid w:val="00125357"/>
    <w:rsid w:val="00136230"/>
    <w:rsid w:val="0017227F"/>
    <w:rsid w:val="001A03DE"/>
    <w:rsid w:val="001A067E"/>
    <w:rsid w:val="001C195E"/>
    <w:rsid w:val="001C3DB7"/>
    <w:rsid w:val="001D764C"/>
    <w:rsid w:val="001E1757"/>
    <w:rsid w:val="001E2C13"/>
    <w:rsid w:val="001E2CFE"/>
    <w:rsid w:val="001F4768"/>
    <w:rsid w:val="00241D8C"/>
    <w:rsid w:val="00260729"/>
    <w:rsid w:val="00280261"/>
    <w:rsid w:val="002A7FBA"/>
    <w:rsid w:val="00300EEC"/>
    <w:rsid w:val="00326396"/>
    <w:rsid w:val="003322EA"/>
    <w:rsid w:val="0035248F"/>
    <w:rsid w:val="0037631A"/>
    <w:rsid w:val="003931C6"/>
    <w:rsid w:val="003A05B7"/>
    <w:rsid w:val="003A600B"/>
    <w:rsid w:val="003A7ECF"/>
    <w:rsid w:val="003B6D91"/>
    <w:rsid w:val="003C5653"/>
    <w:rsid w:val="00415BBF"/>
    <w:rsid w:val="00437D6A"/>
    <w:rsid w:val="004415A0"/>
    <w:rsid w:val="00485239"/>
    <w:rsid w:val="004C1358"/>
    <w:rsid w:val="004F0132"/>
    <w:rsid w:val="0050084A"/>
    <w:rsid w:val="005029D1"/>
    <w:rsid w:val="00520680"/>
    <w:rsid w:val="005211A3"/>
    <w:rsid w:val="005238B0"/>
    <w:rsid w:val="005410EC"/>
    <w:rsid w:val="0057123B"/>
    <w:rsid w:val="005759CD"/>
    <w:rsid w:val="005C1398"/>
    <w:rsid w:val="005C178A"/>
    <w:rsid w:val="005E78DC"/>
    <w:rsid w:val="00614FF8"/>
    <w:rsid w:val="00626C72"/>
    <w:rsid w:val="0066668B"/>
    <w:rsid w:val="006A24FC"/>
    <w:rsid w:val="006B7561"/>
    <w:rsid w:val="006C340E"/>
    <w:rsid w:val="006D0E0E"/>
    <w:rsid w:val="006E2746"/>
    <w:rsid w:val="006E2BEF"/>
    <w:rsid w:val="006E7029"/>
    <w:rsid w:val="006F16C8"/>
    <w:rsid w:val="00700C5D"/>
    <w:rsid w:val="00720D92"/>
    <w:rsid w:val="00727E66"/>
    <w:rsid w:val="00732B62"/>
    <w:rsid w:val="00744638"/>
    <w:rsid w:val="00762C61"/>
    <w:rsid w:val="0079312A"/>
    <w:rsid w:val="00807779"/>
    <w:rsid w:val="00825B0B"/>
    <w:rsid w:val="008718E6"/>
    <w:rsid w:val="00875658"/>
    <w:rsid w:val="00885B15"/>
    <w:rsid w:val="008960D1"/>
    <w:rsid w:val="00896F0C"/>
    <w:rsid w:val="008C0EA7"/>
    <w:rsid w:val="008C26A3"/>
    <w:rsid w:val="009211C6"/>
    <w:rsid w:val="00932835"/>
    <w:rsid w:val="0095410B"/>
    <w:rsid w:val="009843C0"/>
    <w:rsid w:val="00997711"/>
    <w:rsid w:val="009A4851"/>
    <w:rsid w:val="009B3B9B"/>
    <w:rsid w:val="009F440D"/>
    <w:rsid w:val="009F53FD"/>
    <w:rsid w:val="00A2531E"/>
    <w:rsid w:val="00A31261"/>
    <w:rsid w:val="00AA71A4"/>
    <w:rsid w:val="00AB0186"/>
    <w:rsid w:val="00AB23A3"/>
    <w:rsid w:val="00AC12B8"/>
    <w:rsid w:val="00AC598A"/>
    <w:rsid w:val="00AC6007"/>
    <w:rsid w:val="00AD2E46"/>
    <w:rsid w:val="00AE1000"/>
    <w:rsid w:val="00AF3D77"/>
    <w:rsid w:val="00AF610C"/>
    <w:rsid w:val="00B3683A"/>
    <w:rsid w:val="00B37860"/>
    <w:rsid w:val="00B6206A"/>
    <w:rsid w:val="00B623E3"/>
    <w:rsid w:val="00B71F68"/>
    <w:rsid w:val="00B80A2E"/>
    <w:rsid w:val="00BE26A1"/>
    <w:rsid w:val="00BF2511"/>
    <w:rsid w:val="00BF41B9"/>
    <w:rsid w:val="00BF480F"/>
    <w:rsid w:val="00C068AB"/>
    <w:rsid w:val="00C0715A"/>
    <w:rsid w:val="00C30AE4"/>
    <w:rsid w:val="00C957C0"/>
    <w:rsid w:val="00C97976"/>
    <w:rsid w:val="00CA668E"/>
    <w:rsid w:val="00CC5F4E"/>
    <w:rsid w:val="00CD06E5"/>
    <w:rsid w:val="00D01B79"/>
    <w:rsid w:val="00D1480F"/>
    <w:rsid w:val="00D4224E"/>
    <w:rsid w:val="00D5067E"/>
    <w:rsid w:val="00D55DA3"/>
    <w:rsid w:val="00D56901"/>
    <w:rsid w:val="00D72C3A"/>
    <w:rsid w:val="00D84D0F"/>
    <w:rsid w:val="00DC4B07"/>
    <w:rsid w:val="00DF2DDB"/>
    <w:rsid w:val="00E1126E"/>
    <w:rsid w:val="00E2137D"/>
    <w:rsid w:val="00E63DCC"/>
    <w:rsid w:val="00E90E35"/>
    <w:rsid w:val="00EB0DF0"/>
    <w:rsid w:val="00EC1958"/>
    <w:rsid w:val="00ED2B29"/>
    <w:rsid w:val="00ED5D48"/>
    <w:rsid w:val="00EF36B4"/>
    <w:rsid w:val="00F03C43"/>
    <w:rsid w:val="00F13FB8"/>
    <w:rsid w:val="00F331A5"/>
    <w:rsid w:val="00F46C87"/>
    <w:rsid w:val="00F60688"/>
    <w:rsid w:val="00F6655C"/>
    <w:rsid w:val="00F82439"/>
    <w:rsid w:val="00F94E66"/>
    <w:rsid w:val="00FC09B6"/>
    <w:rsid w:val="00FD5636"/>
    <w:rsid w:val="00FE5CE5"/>
    <w:rsid w:val="00FF164A"/>
    <w:rsid w:val="13207514"/>
    <w:rsid w:val="1DB46B86"/>
    <w:rsid w:val="2ADE0350"/>
    <w:rsid w:val="3686439F"/>
    <w:rsid w:val="371776CE"/>
    <w:rsid w:val="3C3B0AB3"/>
    <w:rsid w:val="45F757B1"/>
    <w:rsid w:val="5B1753EF"/>
    <w:rsid w:val="622B44FA"/>
    <w:rsid w:val="70153947"/>
    <w:rsid w:val="77E6605A"/>
    <w:rsid w:val="793C1810"/>
    <w:rsid w:val="7BB63D67"/>
    <w:rsid w:val="7FCB5C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1C6"/>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3931C6"/>
    <w:pPr>
      <w:tabs>
        <w:tab w:val="center" w:pos="4153"/>
        <w:tab w:val="right" w:pos="8306"/>
      </w:tabs>
      <w:snapToGrid w:val="0"/>
      <w:jc w:val="left"/>
    </w:pPr>
    <w:rPr>
      <w:sz w:val="18"/>
      <w:szCs w:val="18"/>
    </w:rPr>
  </w:style>
  <w:style w:type="paragraph" w:styleId="a4">
    <w:name w:val="header"/>
    <w:basedOn w:val="a"/>
    <w:link w:val="Char0"/>
    <w:uiPriority w:val="99"/>
    <w:semiHidden/>
    <w:qFormat/>
    <w:rsid w:val="003931C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rsid w:val="003931C6"/>
    <w:rPr>
      <w:rFonts w:ascii="Times New Roman" w:hAnsi="Times New Roman" w:cs="Times New Roman"/>
      <w:sz w:val="24"/>
      <w:szCs w:val="24"/>
    </w:rPr>
  </w:style>
  <w:style w:type="character" w:customStyle="1" w:styleId="Char0">
    <w:name w:val="页眉 Char"/>
    <w:basedOn w:val="a0"/>
    <w:link w:val="a4"/>
    <w:uiPriority w:val="99"/>
    <w:semiHidden/>
    <w:qFormat/>
    <w:locked/>
    <w:rsid w:val="003931C6"/>
    <w:rPr>
      <w:sz w:val="18"/>
      <w:szCs w:val="18"/>
    </w:rPr>
  </w:style>
  <w:style w:type="character" w:customStyle="1" w:styleId="Char">
    <w:name w:val="页脚 Char"/>
    <w:basedOn w:val="a0"/>
    <w:link w:val="a3"/>
    <w:uiPriority w:val="99"/>
    <w:semiHidden/>
    <w:qFormat/>
    <w:locked/>
    <w:rsid w:val="003931C6"/>
    <w:rPr>
      <w:sz w:val="18"/>
      <w:szCs w:val="18"/>
    </w:rPr>
  </w:style>
  <w:style w:type="character" w:customStyle="1" w:styleId="font61">
    <w:name w:val="font61"/>
    <w:basedOn w:val="a0"/>
    <w:qFormat/>
    <w:rsid w:val="003931C6"/>
    <w:rPr>
      <w:rFonts w:ascii="Arial" w:hAnsi="Arial" w:cs="Arial"/>
      <w:color w:val="000000"/>
      <w:sz w:val="20"/>
      <w:szCs w:val="20"/>
      <w:u w:val="none"/>
    </w:rPr>
  </w:style>
  <w:style w:type="character" w:customStyle="1" w:styleId="font21">
    <w:name w:val="font21"/>
    <w:basedOn w:val="a0"/>
    <w:rsid w:val="003931C6"/>
    <w:rPr>
      <w:rFonts w:ascii="宋体" w:eastAsia="宋体" w:hAnsi="宋体" w:cs="宋体" w:hint="eastAsia"/>
      <w:color w:val="000000"/>
      <w:sz w:val="22"/>
      <w:szCs w:val="22"/>
      <w:u w:val="none"/>
    </w:rPr>
  </w:style>
  <w:style w:type="character" w:customStyle="1" w:styleId="font41">
    <w:name w:val="font41"/>
    <w:basedOn w:val="a0"/>
    <w:rsid w:val="003931C6"/>
    <w:rPr>
      <w:rFonts w:ascii="Arial" w:hAnsi="Arial" w:cs="Arial"/>
      <w:color w:val="000000"/>
      <w:sz w:val="20"/>
      <w:szCs w:val="20"/>
      <w:u w:val="none"/>
    </w:rPr>
  </w:style>
  <w:style w:type="character" w:customStyle="1" w:styleId="font01">
    <w:name w:val="font01"/>
    <w:basedOn w:val="a0"/>
    <w:qFormat/>
    <w:rsid w:val="003931C6"/>
    <w:rPr>
      <w:rFonts w:ascii="宋体" w:eastAsia="宋体" w:hAnsi="宋体" w:cs="宋体" w:hint="eastAsia"/>
      <w:color w:val="000000"/>
      <w:sz w:val="22"/>
      <w:szCs w:val="22"/>
      <w:u w:val="none"/>
    </w:rPr>
  </w:style>
  <w:style w:type="paragraph" w:styleId="a6">
    <w:name w:val="Balloon Text"/>
    <w:basedOn w:val="a"/>
    <w:link w:val="Char1"/>
    <w:uiPriority w:val="99"/>
    <w:semiHidden/>
    <w:unhideWhenUsed/>
    <w:rsid w:val="00EC1958"/>
    <w:rPr>
      <w:sz w:val="18"/>
      <w:szCs w:val="18"/>
    </w:rPr>
  </w:style>
  <w:style w:type="character" w:customStyle="1" w:styleId="Char1">
    <w:name w:val="批注框文本 Char"/>
    <w:basedOn w:val="a0"/>
    <w:link w:val="a6"/>
    <w:uiPriority w:val="99"/>
    <w:semiHidden/>
    <w:rsid w:val="00EC1958"/>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xj.gov.cn/xxgkml/cwgk/201604/W020160405536937815403.xls"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ccgxj.gov.cn/xxgkml/cwgk/201604/W020160405536939530065.xls"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ccgxj.gov.cn/xxgkml/cwgk/201604/W020160405536938434342.x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xj.gov.cn/xxgkml/cwgk/201604/W020160405536937505814.xls" TargetMode="Externa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hyperlink" Target="http://www.ccgxj.gov.cn/xxgkml/cwgk/201604/W020160405536939064777.xlsx" TargetMode="External"/><Relationship Id="rId23" Type="http://schemas.openxmlformats.org/officeDocument/2006/relationships/hyperlink" Target="http://www.ccgxj.gov.cn/xxgkml/cwgk/201604/W020160405536939687469.xls" TargetMode="External"/><Relationship Id="rId10" Type="http://schemas.openxmlformats.org/officeDocument/2006/relationships/image" Target="media/image1.png"/><Relationship Id="rId19" Type="http://schemas.openxmlformats.org/officeDocument/2006/relationships/hyperlink" Target="http://www.ccgxj.gov.cn/xxgkml/cwgk/201604/W020160405536939218217.xls" TargetMode="External"/><Relationship Id="rId4" Type="http://schemas.openxmlformats.org/officeDocument/2006/relationships/styles" Target="styles.xml"/><Relationship Id="rId9" Type="http://schemas.openxmlformats.org/officeDocument/2006/relationships/hyperlink" Target="http://www.ccgxj.gov.cn/xxgkml/cwgk/201604/W020160405536935785252.xls" TargetMode="External"/><Relationship Id="rId14" Type="http://schemas.openxmlformats.org/officeDocument/2006/relationships/image" Target="media/image3.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70098-C8DA-4162-9690-08AB35BD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611</Words>
  <Characters>3486</Characters>
  <Application>Microsoft Office Word</Application>
  <DocSecurity>0</DocSecurity>
  <Lines>29</Lines>
  <Paragraphs>8</Paragraphs>
  <ScaleCrop>false</ScaleCrop>
  <Company>Microsoft</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2017年长春市工业和信息化局</dc:title>
  <dc:creator>a</dc:creator>
  <cp:lastModifiedBy>lenovo</cp:lastModifiedBy>
  <cp:revision>14</cp:revision>
  <cp:lastPrinted>2022-08-08T01:24:00Z</cp:lastPrinted>
  <dcterms:created xsi:type="dcterms:W3CDTF">2022-08-05T07:36:00Z</dcterms:created>
  <dcterms:modified xsi:type="dcterms:W3CDTF">2022-08-08T01:26:00Z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