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  <w:t>养老机构基本条件告知书</w:t>
      </w:r>
    </w:p>
    <w:bookmarkEnd w:id="0"/>
    <w:p>
      <w:pPr>
        <w:spacing w:line="560" w:lineRule="exact"/>
        <w:jc w:val="left"/>
        <w:rPr>
          <w:rFonts w:ascii="仿宋_GB2312" w:hAnsi="方正小标宋简体" w:eastAsia="仿宋_GB2312" w:cs="方正小标宋简体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应当符合《中华人民共和国建筑法》、《中华人民共和国消防法》、《无障碍环境建设条例》等法律法规，以及《老年人照料设施建筑设计标准》（住房城乡建设部公告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2018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年第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35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号）、《建筑设计防火规范》（住房城乡建设部公告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2018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年第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36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号）等国家标准或者行业标准规定的安全生产条件，并符合环境影响评价分类管理要求。依照《中华人民共和国安全生产法》第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17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条规定，不具备安全生产条件的，不得从事经营服务活动。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养老机构床位数在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10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张以上。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应当符合《养老机构管理办法》规章。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开展餐饮服务的，应当符合《中华人民共和国食品安全法》等法律法规，以及相应食品安全标准。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法律法规规定的其他条件。</w:t>
      </w:r>
    </w:p>
    <w:p>
      <w:pPr>
        <w:pStyle w:val="4"/>
        <w:spacing w:afterLines="100"/>
        <w:ind w:left="42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widowControl/>
        <w:spacing w:after="240"/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</w:p>
    <w:p>
      <w:pPr>
        <w:widowControl/>
        <w:spacing w:after="240"/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</w:p>
    <w:p>
      <w:pPr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　　　　　　　　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F8BD"/>
    <w:multiLevelType w:val="singleLevel"/>
    <w:tmpl w:val="5C21F8BD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A192E"/>
    <w:rsid w:val="65C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2020-11-10T07:59:00Z</dcterms:created>
  <dc:creator>随遇而安</dc:creator>
  <cp:lastModifiedBy>随遇而安</cp:lastModifiedBy>
  <dcterms:modified xsi:type="dcterms:W3CDTF">2020-11-10T08:00:09Z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